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892F4" w14:textId="36F693C0" w:rsidR="003D2469" w:rsidRDefault="00032813" w:rsidP="00296D66">
      <w:pPr>
        <w:jc w:val="center"/>
        <w:rPr>
          <w:b/>
        </w:rPr>
      </w:pPr>
      <w:r>
        <w:rPr>
          <w:b/>
          <w:noProof/>
        </w:rPr>
        <w:drawing>
          <wp:anchor distT="0" distB="0" distL="114300" distR="114300" simplePos="0" relativeHeight="251658240" behindDoc="0" locked="0" layoutInCell="1" allowOverlap="1" wp14:anchorId="6B33D4EB" wp14:editId="68508C77">
            <wp:simplePos x="0" y="0"/>
            <wp:positionH relativeFrom="margin">
              <wp:align>right</wp:align>
            </wp:positionH>
            <wp:positionV relativeFrom="margin">
              <wp:align>top</wp:align>
            </wp:positionV>
            <wp:extent cx="1080135" cy="10801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fordEarth+SOEEES_RedTan_CMYK-1.png"/>
                    <pic:cNvPicPr/>
                  </pic:nvPicPr>
                  <pic:blipFill>
                    <a:blip r:embed="rId8">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anchor>
        </w:drawing>
      </w:r>
      <w:r w:rsidR="00FF2C9C">
        <w:rPr>
          <w:b/>
        </w:rPr>
        <w:t>Meeting the Global</w:t>
      </w:r>
      <w:r w:rsidR="00720DDF">
        <w:rPr>
          <w:b/>
        </w:rPr>
        <w:t xml:space="preserve"> </w:t>
      </w:r>
      <w:r w:rsidR="003D2469" w:rsidRPr="00296D66">
        <w:rPr>
          <w:b/>
        </w:rPr>
        <w:t>Sustainability</w:t>
      </w:r>
      <w:r w:rsidR="00720DDF">
        <w:rPr>
          <w:b/>
        </w:rPr>
        <w:t xml:space="preserve"> Challenge</w:t>
      </w:r>
    </w:p>
    <w:p w14:paraId="599A6EB5" w14:textId="77777777" w:rsidR="00822E3E" w:rsidRDefault="00296D66" w:rsidP="00296D66">
      <w:pPr>
        <w:jc w:val="center"/>
        <w:rPr>
          <w:b/>
        </w:rPr>
      </w:pPr>
      <w:r w:rsidRPr="00296D66">
        <w:rPr>
          <w:b/>
        </w:rPr>
        <w:t>THINK 40</w:t>
      </w:r>
      <w:r w:rsidR="00E0681A">
        <w:rPr>
          <w:b/>
        </w:rPr>
        <w:t xml:space="preserve"> </w:t>
      </w:r>
    </w:p>
    <w:p w14:paraId="14960E51" w14:textId="694A02E0" w:rsidR="003D2469" w:rsidRDefault="009A2F61" w:rsidP="00296D66">
      <w:pPr>
        <w:jc w:val="center"/>
        <w:rPr>
          <w:b/>
        </w:rPr>
      </w:pPr>
      <w:r>
        <w:rPr>
          <w:b/>
        </w:rPr>
        <w:t>Winter Quarter 2016</w:t>
      </w:r>
    </w:p>
    <w:p w14:paraId="5BAFF6DE" w14:textId="77777777" w:rsidR="00296D66" w:rsidRDefault="00296D66" w:rsidP="009A2F61">
      <w:pPr>
        <w:jc w:val="center"/>
      </w:pPr>
    </w:p>
    <w:p w14:paraId="089E7A65" w14:textId="588068B7" w:rsidR="005138E7" w:rsidRDefault="005138E7" w:rsidP="009A2F61">
      <w:pPr>
        <w:jc w:val="center"/>
      </w:pPr>
      <w:r>
        <w:t>Mon</w:t>
      </w:r>
      <w:r w:rsidR="00E0265C">
        <w:t xml:space="preserve"> </w:t>
      </w:r>
      <w:r>
        <w:t xml:space="preserve">Wed </w:t>
      </w:r>
      <w:r w:rsidR="00B14335">
        <w:t>1:</w:t>
      </w:r>
      <w:r w:rsidR="009A2F61">
        <w:t>30 – 2</w:t>
      </w:r>
      <w:r w:rsidR="00B14335">
        <w:t>:</w:t>
      </w:r>
      <w:r w:rsidR="009A2F61">
        <w:t>20</w:t>
      </w:r>
      <w:r w:rsidR="00B14335">
        <w:t>pm</w:t>
      </w:r>
    </w:p>
    <w:p w14:paraId="42CA1CB4" w14:textId="774B09F5" w:rsidR="005138E7" w:rsidRDefault="009A2F61" w:rsidP="009A2F61">
      <w:pPr>
        <w:jc w:val="center"/>
      </w:pPr>
      <w:r>
        <w:t xml:space="preserve">Room </w:t>
      </w:r>
      <w:r w:rsidR="004E50E3">
        <w:t>320</w:t>
      </w:r>
      <w:r w:rsidRPr="009A2F61">
        <w:t>-</w:t>
      </w:r>
      <w:r w:rsidR="004E50E3">
        <w:t>220</w:t>
      </w:r>
    </w:p>
    <w:p w14:paraId="5EBBFF14" w14:textId="77777777" w:rsidR="005138E7" w:rsidRPr="00296D66" w:rsidRDefault="005138E7" w:rsidP="00296D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2547"/>
        <w:gridCol w:w="3354"/>
      </w:tblGrid>
      <w:tr w:rsidR="005138E7" w:rsidRPr="005138E7" w14:paraId="1B219C00" w14:textId="77777777" w:rsidTr="00720DDF">
        <w:tc>
          <w:tcPr>
            <w:tcW w:w="2955" w:type="dxa"/>
          </w:tcPr>
          <w:p w14:paraId="6D358C5D" w14:textId="1659CDCB" w:rsidR="005138E7" w:rsidRPr="005138E7" w:rsidRDefault="005138E7" w:rsidP="005A5FE6">
            <w:pPr>
              <w:rPr>
                <w:b/>
              </w:rPr>
            </w:pPr>
            <w:r w:rsidRPr="005138E7">
              <w:rPr>
                <w:b/>
              </w:rPr>
              <w:t>Professors</w:t>
            </w:r>
          </w:p>
        </w:tc>
        <w:tc>
          <w:tcPr>
            <w:tcW w:w="2547" w:type="dxa"/>
          </w:tcPr>
          <w:p w14:paraId="3A56AD6B" w14:textId="674BB329" w:rsidR="005138E7" w:rsidRPr="00653E03" w:rsidRDefault="005138E7" w:rsidP="005A5FE6">
            <w:pPr>
              <w:rPr>
                <w:b/>
              </w:rPr>
            </w:pPr>
            <w:r w:rsidRPr="00653E03">
              <w:rPr>
                <w:b/>
              </w:rPr>
              <w:t xml:space="preserve">Office </w:t>
            </w:r>
            <w:r w:rsidR="00D56D05" w:rsidRPr="00653E03">
              <w:rPr>
                <w:b/>
              </w:rPr>
              <w:t xml:space="preserve">&amp; </w:t>
            </w:r>
            <w:r w:rsidRPr="00653E03">
              <w:rPr>
                <w:b/>
              </w:rPr>
              <w:t>Hours</w:t>
            </w:r>
          </w:p>
        </w:tc>
        <w:tc>
          <w:tcPr>
            <w:tcW w:w="3354" w:type="dxa"/>
          </w:tcPr>
          <w:p w14:paraId="2A47AF6C" w14:textId="77777777" w:rsidR="005138E7" w:rsidRPr="005138E7" w:rsidRDefault="005138E7" w:rsidP="005A5FE6">
            <w:pPr>
              <w:rPr>
                <w:b/>
              </w:rPr>
            </w:pPr>
            <w:r w:rsidRPr="005138E7">
              <w:rPr>
                <w:b/>
              </w:rPr>
              <w:t xml:space="preserve">Contact </w:t>
            </w:r>
          </w:p>
        </w:tc>
      </w:tr>
      <w:tr w:rsidR="009A2F61" w:rsidRPr="005138E7" w14:paraId="7020C527" w14:textId="77777777" w:rsidTr="00AC5D34">
        <w:tc>
          <w:tcPr>
            <w:tcW w:w="2955" w:type="dxa"/>
          </w:tcPr>
          <w:p w14:paraId="1B4B3F46" w14:textId="0E38984D" w:rsidR="009A2F61" w:rsidRPr="005138E7" w:rsidRDefault="009A2F61" w:rsidP="00AC5D34">
            <w:r>
              <w:t>Pamela Matson</w:t>
            </w:r>
          </w:p>
        </w:tc>
        <w:tc>
          <w:tcPr>
            <w:tcW w:w="2547" w:type="dxa"/>
          </w:tcPr>
          <w:p w14:paraId="30C71482" w14:textId="083F0DBC" w:rsidR="009A2F61" w:rsidRPr="00653E03" w:rsidRDefault="00E0265C" w:rsidP="00AC5D34">
            <w:r>
              <w:t>By appointment</w:t>
            </w:r>
          </w:p>
        </w:tc>
        <w:tc>
          <w:tcPr>
            <w:tcW w:w="3354" w:type="dxa"/>
          </w:tcPr>
          <w:p w14:paraId="03548C65" w14:textId="77777777" w:rsidR="009A2F61" w:rsidRDefault="009A2F61" w:rsidP="00AC5D34">
            <w:r>
              <w:t>pamela.matson@stanford.edu; sfrench@stanford.edu (Susan French, for appointments)</w:t>
            </w:r>
          </w:p>
          <w:p w14:paraId="606A7BEB" w14:textId="77777777" w:rsidR="00C36E60" w:rsidRPr="005138E7" w:rsidRDefault="00C36E60" w:rsidP="00AC5D34"/>
        </w:tc>
        <w:bookmarkStart w:id="0" w:name="_GoBack"/>
        <w:bookmarkEnd w:id="0"/>
      </w:tr>
      <w:tr w:rsidR="005138E7" w:rsidRPr="005138E7" w14:paraId="19CF87D8" w14:textId="77777777" w:rsidTr="00720DDF">
        <w:tc>
          <w:tcPr>
            <w:tcW w:w="2955" w:type="dxa"/>
          </w:tcPr>
          <w:p w14:paraId="736A76B3" w14:textId="3CD6C53F" w:rsidR="005138E7" w:rsidRPr="005138E7" w:rsidRDefault="009A2F61" w:rsidP="009A2F61">
            <w:r w:rsidRPr="009A2F61">
              <w:t>Margot Gerritsen</w:t>
            </w:r>
          </w:p>
        </w:tc>
        <w:tc>
          <w:tcPr>
            <w:tcW w:w="2547" w:type="dxa"/>
          </w:tcPr>
          <w:p w14:paraId="5658B4E6" w14:textId="77573D7C" w:rsidR="005138E7" w:rsidRPr="00653E03" w:rsidRDefault="00E0265C" w:rsidP="00C36E60">
            <w:r>
              <w:t>By appointment</w:t>
            </w:r>
          </w:p>
        </w:tc>
        <w:tc>
          <w:tcPr>
            <w:tcW w:w="3354" w:type="dxa"/>
          </w:tcPr>
          <w:p w14:paraId="1DBCAAE5" w14:textId="1B78C61A" w:rsidR="005138E7" w:rsidRDefault="00BE2AD0" w:rsidP="005A5FE6">
            <w:hyperlink r:id="rId9" w:history="1">
              <w:r w:rsidR="00C36E60" w:rsidRPr="00B07724">
                <w:rPr>
                  <w:rStyle w:val="Hyperlink"/>
                </w:rPr>
                <w:t>gerritsn@stanford.edu</w:t>
              </w:r>
            </w:hyperlink>
          </w:p>
          <w:p w14:paraId="2420CFC5" w14:textId="3E9964CC" w:rsidR="00C36E60" w:rsidRPr="005138E7" w:rsidRDefault="00C36E60" w:rsidP="005A5FE6"/>
        </w:tc>
      </w:tr>
      <w:tr w:rsidR="005138E7" w:rsidRPr="005138E7" w14:paraId="601B0669" w14:textId="77777777" w:rsidTr="00720DDF">
        <w:tc>
          <w:tcPr>
            <w:tcW w:w="2955" w:type="dxa"/>
          </w:tcPr>
          <w:p w14:paraId="73767496" w14:textId="77777777" w:rsidR="007E772B" w:rsidRDefault="007E772B" w:rsidP="005A5FE6">
            <w:pPr>
              <w:rPr>
                <w:b/>
              </w:rPr>
            </w:pPr>
          </w:p>
          <w:p w14:paraId="3C68057A" w14:textId="02F51B8F" w:rsidR="005138E7" w:rsidRPr="005138E7" w:rsidRDefault="003418FC" w:rsidP="005A5FE6">
            <w:pPr>
              <w:rPr>
                <w:b/>
              </w:rPr>
            </w:pPr>
            <w:r>
              <w:rPr>
                <w:b/>
              </w:rPr>
              <w:t>Lecturers</w:t>
            </w:r>
          </w:p>
        </w:tc>
        <w:tc>
          <w:tcPr>
            <w:tcW w:w="2547" w:type="dxa"/>
          </w:tcPr>
          <w:p w14:paraId="7DA6FE9F" w14:textId="77777777" w:rsidR="005138E7" w:rsidRPr="00653E03" w:rsidRDefault="005138E7" w:rsidP="005A5FE6">
            <w:pPr>
              <w:rPr>
                <w:b/>
              </w:rPr>
            </w:pPr>
          </w:p>
        </w:tc>
        <w:tc>
          <w:tcPr>
            <w:tcW w:w="3354" w:type="dxa"/>
          </w:tcPr>
          <w:p w14:paraId="0A8309C8" w14:textId="77777777" w:rsidR="005138E7" w:rsidRPr="005138E7" w:rsidRDefault="005138E7" w:rsidP="005A5FE6">
            <w:pPr>
              <w:rPr>
                <w:b/>
              </w:rPr>
            </w:pPr>
          </w:p>
        </w:tc>
      </w:tr>
      <w:tr w:rsidR="005138E7" w:rsidRPr="005138E7" w14:paraId="2D06C640" w14:textId="77777777" w:rsidTr="00720DDF">
        <w:tc>
          <w:tcPr>
            <w:tcW w:w="2955" w:type="dxa"/>
          </w:tcPr>
          <w:p w14:paraId="07D1D24C" w14:textId="05FA6EB9" w:rsidR="005138E7" w:rsidRPr="005138E7" w:rsidRDefault="007E772B" w:rsidP="005A5FE6">
            <w:r>
              <w:t>Liz Carlisle</w:t>
            </w:r>
          </w:p>
        </w:tc>
        <w:tc>
          <w:tcPr>
            <w:tcW w:w="2547" w:type="dxa"/>
          </w:tcPr>
          <w:p w14:paraId="177D7385" w14:textId="144486C6" w:rsidR="00D329EB" w:rsidRPr="00653E03" w:rsidRDefault="00D329EB" w:rsidP="007849AC">
            <w:r>
              <w:t>Wed 2:30-3:</w:t>
            </w:r>
            <w:r w:rsidR="007849AC">
              <w:t>3</w:t>
            </w:r>
            <w:r>
              <w:t xml:space="preserve">0 </w:t>
            </w:r>
            <w:r w:rsidR="00E0265C">
              <w:t xml:space="preserve">&amp; </w:t>
            </w:r>
            <w:r>
              <w:t xml:space="preserve">by appt. </w:t>
            </w:r>
            <w:proofErr w:type="spellStart"/>
            <w:r w:rsidR="00E0265C" w:rsidRPr="00E0265C">
              <w:t>Cubberley</w:t>
            </w:r>
            <w:proofErr w:type="spellEnd"/>
            <w:r w:rsidR="00E0265C" w:rsidRPr="00E0265C">
              <w:t xml:space="preserve"> Cafe, </w:t>
            </w:r>
            <w:r w:rsidR="00E0265C">
              <w:t>(</w:t>
            </w:r>
            <w:r w:rsidR="00E0265C" w:rsidRPr="00E0265C">
              <w:t>basement of the Graduate School of Education</w:t>
            </w:r>
            <w:r w:rsidR="00E0265C">
              <w:t>)</w:t>
            </w:r>
          </w:p>
        </w:tc>
        <w:tc>
          <w:tcPr>
            <w:tcW w:w="3354" w:type="dxa"/>
          </w:tcPr>
          <w:p w14:paraId="42C57ADA" w14:textId="15146265" w:rsidR="005138E7" w:rsidRPr="005138E7" w:rsidRDefault="00BE2AD0" w:rsidP="005A5FE6">
            <w:hyperlink r:id="rId10" w:history="1">
              <w:r w:rsidR="007E772B" w:rsidRPr="00763C02">
                <w:rPr>
                  <w:rStyle w:val="Hyperlink"/>
                </w:rPr>
                <w:t>lizwc@stanford.edu</w:t>
              </w:r>
            </w:hyperlink>
            <w:r w:rsidR="007E772B">
              <w:t xml:space="preserve"> </w:t>
            </w:r>
          </w:p>
        </w:tc>
      </w:tr>
      <w:tr w:rsidR="005138E7" w:rsidRPr="005138E7" w14:paraId="5505C947" w14:textId="77777777" w:rsidTr="00720DDF">
        <w:tc>
          <w:tcPr>
            <w:tcW w:w="2955" w:type="dxa"/>
          </w:tcPr>
          <w:p w14:paraId="18858330" w14:textId="417C3BDC" w:rsidR="005138E7" w:rsidRPr="005138E7" w:rsidRDefault="007E772B" w:rsidP="005A5FE6">
            <w:r>
              <w:t>Angela Harris</w:t>
            </w:r>
          </w:p>
        </w:tc>
        <w:tc>
          <w:tcPr>
            <w:tcW w:w="2547" w:type="dxa"/>
          </w:tcPr>
          <w:p w14:paraId="169A88BB" w14:textId="296018A1" w:rsidR="007E772B" w:rsidRDefault="00E0265C" w:rsidP="007E772B">
            <w:r>
              <w:t xml:space="preserve">Thurs 2-3pm. 218C Sweet Hall </w:t>
            </w:r>
          </w:p>
          <w:p w14:paraId="550685BA" w14:textId="6367C359" w:rsidR="007E772B" w:rsidRPr="00653E03" w:rsidRDefault="007E772B" w:rsidP="007E772B"/>
        </w:tc>
        <w:tc>
          <w:tcPr>
            <w:tcW w:w="3354" w:type="dxa"/>
          </w:tcPr>
          <w:p w14:paraId="764520BC" w14:textId="65BF3320" w:rsidR="005138E7" w:rsidRPr="005138E7" w:rsidRDefault="00BE2AD0" w:rsidP="005A5FE6">
            <w:hyperlink r:id="rId11" w:history="1">
              <w:r w:rsidR="007E772B" w:rsidRPr="00763C02">
                <w:rPr>
                  <w:rStyle w:val="Hyperlink"/>
                </w:rPr>
                <w:t>angelaharris@stanford.edu</w:t>
              </w:r>
            </w:hyperlink>
            <w:r w:rsidR="007E772B">
              <w:t xml:space="preserve"> </w:t>
            </w:r>
          </w:p>
        </w:tc>
      </w:tr>
      <w:tr w:rsidR="007E772B" w:rsidRPr="005138E7" w14:paraId="5ACDD0E2" w14:textId="77777777" w:rsidTr="00720DDF">
        <w:tc>
          <w:tcPr>
            <w:tcW w:w="2955" w:type="dxa"/>
          </w:tcPr>
          <w:p w14:paraId="7C6D6365" w14:textId="231A6814" w:rsidR="007E772B" w:rsidRDefault="007E772B" w:rsidP="005A5FE6">
            <w:r>
              <w:t>Andy Lyons</w:t>
            </w:r>
          </w:p>
        </w:tc>
        <w:tc>
          <w:tcPr>
            <w:tcW w:w="2547" w:type="dxa"/>
          </w:tcPr>
          <w:p w14:paraId="0B8B2776" w14:textId="555C1A0D" w:rsidR="007E772B" w:rsidRDefault="004E50E3" w:rsidP="004E50E3">
            <w:r>
              <w:t>Mon &amp; Wed</w:t>
            </w:r>
            <w:r w:rsidR="00F56CAD">
              <w:t>. 1</w:t>
            </w:r>
            <w:r>
              <w:t>1</w:t>
            </w:r>
            <w:r w:rsidR="00F56CAD">
              <w:t>:00-1</w:t>
            </w:r>
            <w:r>
              <w:t>2</w:t>
            </w:r>
            <w:r w:rsidR="00F56CAD">
              <w:t>:00</w:t>
            </w:r>
            <w:r>
              <w:t xml:space="preserve">, and by appt. </w:t>
            </w:r>
            <w:r w:rsidR="0022083C" w:rsidRPr="0022083C">
              <w:t>343 Y2E2</w:t>
            </w:r>
          </w:p>
        </w:tc>
        <w:tc>
          <w:tcPr>
            <w:tcW w:w="3354" w:type="dxa"/>
          </w:tcPr>
          <w:p w14:paraId="74758074" w14:textId="671DD92D" w:rsidR="007E772B" w:rsidRDefault="00BE2AD0" w:rsidP="005A5FE6">
            <w:hyperlink r:id="rId12" w:history="1">
              <w:r w:rsidR="007E772B" w:rsidRPr="00763C02">
                <w:rPr>
                  <w:rStyle w:val="Hyperlink"/>
                </w:rPr>
                <w:t>ajlyons@stanford.edu</w:t>
              </w:r>
            </w:hyperlink>
          </w:p>
        </w:tc>
      </w:tr>
    </w:tbl>
    <w:p w14:paraId="2BBDEA66" w14:textId="77777777" w:rsidR="00822E3E" w:rsidRDefault="00822E3E"/>
    <w:p w14:paraId="2FD623FF" w14:textId="77777777" w:rsidR="005138E7" w:rsidRPr="00027349" w:rsidRDefault="009C296E" w:rsidP="00027349">
      <w:pPr>
        <w:pStyle w:val="Heading1"/>
      </w:pPr>
      <w:r w:rsidRPr="00027349">
        <w:t xml:space="preserve">Course </w:t>
      </w:r>
      <w:r w:rsidR="005138E7" w:rsidRPr="00027349">
        <w:t>Description</w:t>
      </w:r>
    </w:p>
    <w:p w14:paraId="52C29EFC" w14:textId="1461BDF7" w:rsidR="00124AE0" w:rsidRPr="00124AE0" w:rsidRDefault="00124AE0" w:rsidP="00124AE0">
      <w:r w:rsidRPr="00124AE0">
        <w:t>The term “sustainability” is popping up everywhere. Businesses, cities, non-governmental organizations, individuals, and universities such as Stanford use the term to characterize decisions that make sense for the well-being of people as well as the environment. Beyond popular use of the term, however, is an emerging field of study that focuses on the goa</w:t>
      </w:r>
      <w:r>
        <w:t>ls of sustainable development—</w:t>
      </w:r>
      <w:r w:rsidRPr="00124AE0">
        <w:t>improving human well-being while preserving Earth’s life support systems (</w:t>
      </w:r>
      <w:r w:rsidR="00C02C42">
        <w:t>i.e</w:t>
      </w:r>
      <w:r w:rsidR="00C36E60">
        <w:t>.</w:t>
      </w:r>
      <w:r w:rsidR="00C02C42">
        <w:t xml:space="preserve">, our </w:t>
      </w:r>
      <w:r w:rsidRPr="00124AE0">
        <w:t xml:space="preserve">air, water, climate, </w:t>
      </w:r>
      <w:r w:rsidR="00C02C42">
        <w:t>and ecological systems</w:t>
      </w:r>
      <w:r w:rsidRPr="00124AE0">
        <w:t xml:space="preserve">) </w:t>
      </w:r>
      <w:r w:rsidR="004A21EB">
        <w:t xml:space="preserve">across generations </w:t>
      </w:r>
      <w:r>
        <w:t>—</w:t>
      </w:r>
      <w:r w:rsidRPr="00124AE0">
        <w:t xml:space="preserve">and explores how </w:t>
      </w:r>
      <w:r>
        <w:t>multiple disciplines</w:t>
      </w:r>
      <w:r w:rsidRPr="00124AE0">
        <w:t xml:space="preserve"> can contribute to </w:t>
      </w:r>
      <w:r>
        <w:t>solutions for</w:t>
      </w:r>
      <w:r w:rsidRPr="00124AE0">
        <w:t xml:space="preserve"> some of the most critical problems of the 21</w:t>
      </w:r>
      <w:r w:rsidRPr="00124AE0">
        <w:rPr>
          <w:vertAlign w:val="superscript"/>
        </w:rPr>
        <w:t>st</w:t>
      </w:r>
      <w:r w:rsidRPr="00124AE0">
        <w:t xml:space="preserve"> Century.  </w:t>
      </w:r>
    </w:p>
    <w:p w14:paraId="0F5A19A5" w14:textId="77777777" w:rsidR="00124AE0" w:rsidRPr="00124AE0" w:rsidRDefault="00124AE0" w:rsidP="00124AE0"/>
    <w:p w14:paraId="0E96783B" w14:textId="142BF91C" w:rsidR="004C7768" w:rsidRDefault="00124AE0">
      <w:r>
        <w:t>This</w:t>
      </w:r>
      <w:r w:rsidRPr="00124AE0">
        <w:t xml:space="preserve"> course engage</w:t>
      </w:r>
      <w:r>
        <w:t>s</w:t>
      </w:r>
      <w:r w:rsidRPr="00124AE0">
        <w:t xml:space="preserve"> students in </w:t>
      </w:r>
      <w:r w:rsidR="00F97D92">
        <w:t xml:space="preserve">the </w:t>
      </w:r>
      <w:r w:rsidRPr="00124AE0">
        <w:t xml:space="preserve">critical thinking </w:t>
      </w:r>
      <w:r w:rsidR="00F97D92">
        <w:t>characteristic of sustainability science</w:t>
      </w:r>
      <w:r w:rsidR="004C7768">
        <w:t>, which</w:t>
      </w:r>
      <w:r>
        <w:t xml:space="preserve"> focuses its attention on </w:t>
      </w:r>
      <w:r w:rsidR="004A21EB">
        <w:t xml:space="preserve">solving sustainability problems in the context of </w:t>
      </w:r>
      <w:r w:rsidRPr="00124AE0">
        <w:t>cou</w:t>
      </w:r>
      <w:r>
        <w:t xml:space="preserve">pled </w:t>
      </w:r>
      <w:r w:rsidR="004A21EB">
        <w:t>social</w:t>
      </w:r>
      <w:r>
        <w:t>-environment</w:t>
      </w:r>
      <w:r w:rsidR="004A21EB">
        <w:t>al</w:t>
      </w:r>
      <w:r>
        <w:t xml:space="preserve"> systems</w:t>
      </w:r>
      <w:r w:rsidR="00F26189">
        <w:t>.</w:t>
      </w:r>
      <w:r w:rsidR="004A21EB">
        <w:t xml:space="preserve">  </w:t>
      </w:r>
      <w:r w:rsidR="004C7768">
        <w:t xml:space="preserve">Within this framework, we will examine some of the major problems of sustainable development and </w:t>
      </w:r>
      <w:r w:rsidR="00F26189">
        <w:t xml:space="preserve">will </w:t>
      </w:r>
      <w:r w:rsidR="004C7768">
        <w:t xml:space="preserve">grapple with the challenges of </w:t>
      </w:r>
      <w:r w:rsidR="004A21EB">
        <w:t xml:space="preserve">“intergenerational well-being,” </w:t>
      </w:r>
      <w:r w:rsidR="00720DDF">
        <w:t>–</w:t>
      </w:r>
      <w:r w:rsidR="004A21EB">
        <w:t>balancing the needs of current as well as future generations</w:t>
      </w:r>
      <w:r w:rsidR="004C7768">
        <w:t xml:space="preserve">. </w:t>
      </w:r>
      <w:r w:rsidR="004A21EB">
        <w:t xml:space="preserve">We will explore questions about and approaches for making trade-offs and avoiding unintended consequences of particular decisions, and we will consider how time </w:t>
      </w:r>
      <w:r w:rsidR="004A21EB">
        <w:lastRenderedPageBreak/>
        <w:t xml:space="preserve">and space scales influence those trade-offs.  </w:t>
      </w:r>
      <w:r w:rsidR="00F26189">
        <w:t xml:space="preserve">We will consider how human value systems influence sustainability. </w:t>
      </w:r>
      <w:r w:rsidR="004C7768">
        <w:t xml:space="preserve">The </w:t>
      </w:r>
      <w:r w:rsidR="004A21EB">
        <w:t xml:space="preserve">evaluation of our </w:t>
      </w:r>
      <w:r w:rsidR="004C7768">
        <w:t xml:space="preserve">questions </w:t>
      </w:r>
      <w:r w:rsidR="004A21EB">
        <w:t>will</w:t>
      </w:r>
      <w:r w:rsidR="004C7768">
        <w:t xml:space="preserve"> involve </w:t>
      </w:r>
      <w:r w:rsidR="004A21EB">
        <w:t xml:space="preserve">different kinds of knowledge, from multiple scientific disciplines as well as from </w:t>
      </w:r>
      <w:r w:rsidR="00F26189">
        <w:t xml:space="preserve">multiple kinds of </w:t>
      </w:r>
      <w:r w:rsidR="004A21EB">
        <w:t xml:space="preserve">experience. </w:t>
      </w:r>
      <w:r w:rsidR="006E2F20">
        <w:t xml:space="preserve"> </w:t>
      </w:r>
      <w:r w:rsidR="00D80BB9">
        <w:t xml:space="preserve">In asking these types of questions, we will encourage new perspectives on the </w:t>
      </w:r>
      <w:r w:rsidR="00C02C42">
        <w:t xml:space="preserve">critical nature and </w:t>
      </w:r>
      <w:r w:rsidR="00D80BB9">
        <w:t>complexity of sustainability challenges</w:t>
      </w:r>
      <w:r w:rsidR="00C02C42">
        <w:t>,</w:t>
      </w:r>
      <w:r w:rsidR="00D80BB9">
        <w:t xml:space="preserve"> and the need for integrative solutions</w:t>
      </w:r>
      <w:r w:rsidR="00C02C42">
        <w:t xml:space="preserve"> that make sense for the long term.</w:t>
      </w:r>
    </w:p>
    <w:p w14:paraId="3D8F2622" w14:textId="77777777" w:rsidR="006060BB" w:rsidRDefault="006060BB">
      <w:pPr>
        <w:rPr>
          <w:b/>
        </w:rPr>
      </w:pPr>
    </w:p>
    <w:p w14:paraId="6C255D01" w14:textId="09EE5E7F" w:rsidR="008B3393" w:rsidRDefault="008B3393" w:rsidP="00027349">
      <w:pPr>
        <w:pStyle w:val="Heading2"/>
        <w:rPr>
          <w:b w:val="0"/>
        </w:rPr>
      </w:pPr>
      <w:r>
        <w:t>Structure</w:t>
      </w:r>
    </w:p>
    <w:p w14:paraId="706DE034" w14:textId="77777777" w:rsidR="008B3393" w:rsidRDefault="008B3393" w:rsidP="008B3393">
      <w:r>
        <w:t>This course follows several major conceptual issues in sustainability science: systems thinking; analysis of social-environmental systems (including scale and complexity issues); the role of different kinds of knowledge; the challenges of linking knowledge with action for sustainability (including values issues); and the role of governance systems in enabling sustainability progress.  To illustrate the importance of these concepts in very different contexts, the course employs</w:t>
      </w:r>
      <w:r w:rsidRPr="005A534E">
        <w:t xml:space="preserve"> </w:t>
      </w:r>
      <w:r>
        <w:t>tangible case study examples and panel discussions in three</w:t>
      </w:r>
      <w:r w:rsidRPr="005A534E">
        <w:t xml:space="preserve"> topical </w:t>
      </w:r>
      <w:r>
        <w:t>modules</w:t>
      </w:r>
      <w:r w:rsidRPr="005A534E">
        <w:t xml:space="preserve"> central to </w:t>
      </w:r>
      <w:r w:rsidRPr="00BF501A">
        <w:t>human sustainability (energ</w:t>
      </w:r>
      <w:r>
        <w:t>y, food</w:t>
      </w:r>
      <w:r w:rsidRPr="00BF501A">
        <w:t xml:space="preserve">, </w:t>
      </w:r>
      <w:r>
        <w:t>and water</w:t>
      </w:r>
      <w:r w:rsidRPr="00BF501A">
        <w:t>).</w:t>
      </w:r>
      <w:r>
        <w:t xml:space="preserve"> </w:t>
      </w:r>
    </w:p>
    <w:p w14:paraId="423F19DC" w14:textId="77777777" w:rsidR="008B3393" w:rsidRDefault="008B3393" w:rsidP="008B3393">
      <w:pPr>
        <w:rPr>
          <w:b/>
        </w:rPr>
      </w:pPr>
    </w:p>
    <w:p w14:paraId="37B6B0C2" w14:textId="2B780110" w:rsidR="009C296E" w:rsidRPr="00027349" w:rsidRDefault="00027349" w:rsidP="00027349">
      <w:pPr>
        <w:pStyle w:val="Heading1"/>
      </w:pPr>
      <w:r w:rsidRPr="00027349">
        <w:t xml:space="preserve">Learning Goals </w:t>
      </w:r>
    </w:p>
    <w:p w14:paraId="0DA6A782" w14:textId="0AA1D5BE" w:rsidR="00375260" w:rsidRPr="00375260" w:rsidRDefault="00375260" w:rsidP="00027349">
      <w:pPr>
        <w:pStyle w:val="Heading2"/>
      </w:pPr>
      <w:r w:rsidRPr="00375260">
        <w:t>Thinking Matters</w:t>
      </w:r>
      <w:r w:rsidR="00C36E60">
        <w:t xml:space="preserve"> Learning Goals</w:t>
      </w:r>
    </w:p>
    <w:p w14:paraId="1D1B6ADF" w14:textId="14E0C307" w:rsidR="009C296E" w:rsidRDefault="009C296E" w:rsidP="009C296E">
      <w:r w:rsidRPr="009C296E">
        <w:t>Students in</w:t>
      </w:r>
      <w:r w:rsidR="00375260">
        <w:t xml:space="preserve"> all</w:t>
      </w:r>
      <w:r w:rsidRPr="009C296E">
        <w:t xml:space="preserve"> </w:t>
      </w:r>
      <w:r w:rsidRPr="009C296E">
        <w:rPr>
          <w:i/>
        </w:rPr>
        <w:t>Thinking Matters</w:t>
      </w:r>
      <w:r w:rsidRPr="009C296E">
        <w:t xml:space="preserve"> courses will: </w:t>
      </w:r>
    </w:p>
    <w:p w14:paraId="59A3820C" w14:textId="77777777" w:rsidR="00BB00F3" w:rsidRPr="009C296E" w:rsidRDefault="00BB00F3" w:rsidP="009C296E"/>
    <w:p w14:paraId="3FDFBADD" w14:textId="77777777" w:rsidR="009C296E" w:rsidRPr="009C296E" w:rsidRDefault="009C296E" w:rsidP="009C296E">
      <w:pPr>
        <w:numPr>
          <w:ilvl w:val="0"/>
          <w:numId w:val="7"/>
        </w:numPr>
      </w:pPr>
      <w:r w:rsidRPr="009C296E">
        <w:t xml:space="preserve">Develop a sense for what a genuine question or problem is, and what it means to think about an important idea with the sort of disciplined, creative, and critical reasoning characteristic of a university-trained mind. </w:t>
      </w:r>
    </w:p>
    <w:p w14:paraId="05107F90" w14:textId="77777777" w:rsidR="009C296E" w:rsidRPr="009C296E" w:rsidRDefault="009C296E" w:rsidP="009C296E">
      <w:pPr>
        <w:ind w:left="720"/>
      </w:pPr>
    </w:p>
    <w:p w14:paraId="64FA7188" w14:textId="77777777" w:rsidR="009C296E" w:rsidRPr="009C296E" w:rsidRDefault="009C296E" w:rsidP="009C296E">
      <w:pPr>
        <w:numPr>
          <w:ilvl w:val="0"/>
          <w:numId w:val="7"/>
        </w:numPr>
      </w:pPr>
      <w:r w:rsidRPr="009C296E">
        <w:t xml:space="preserve">Develop broad, transportable skills that are required in (almost) any branch of university work, including: analytical, expository writing; careful, critical reading; analytical and critical reasoning; and capacities for effective oral communication including active listening and responsive discussion. </w:t>
      </w:r>
    </w:p>
    <w:p w14:paraId="76E24D6A" w14:textId="77777777" w:rsidR="009C296E" w:rsidRPr="009C296E" w:rsidRDefault="009C296E" w:rsidP="00CF0130">
      <w:pPr>
        <w:keepNext/>
      </w:pPr>
    </w:p>
    <w:p w14:paraId="62C0C1A2" w14:textId="77777777" w:rsidR="002F1602" w:rsidRDefault="009C296E" w:rsidP="00027349">
      <w:pPr>
        <w:pStyle w:val="Heading2"/>
      </w:pPr>
      <w:r>
        <w:t xml:space="preserve">Course </w:t>
      </w:r>
      <w:r w:rsidR="007E3114">
        <w:t xml:space="preserve">Learning </w:t>
      </w:r>
      <w:r>
        <w:t>Goals</w:t>
      </w:r>
    </w:p>
    <w:p w14:paraId="397E1957" w14:textId="2B48763F" w:rsidR="0087568C" w:rsidRPr="0087568C" w:rsidRDefault="0087568C" w:rsidP="00CF0130">
      <w:pPr>
        <w:keepNext/>
      </w:pPr>
      <w:r>
        <w:t>By the end of the class, students will be able to:</w:t>
      </w:r>
    </w:p>
    <w:p w14:paraId="359EE1C8" w14:textId="77777777" w:rsidR="0087568C" w:rsidRPr="00CF0130" w:rsidRDefault="0087568C" w:rsidP="00CF0130">
      <w:pPr>
        <w:keepNext/>
        <w:rPr>
          <w:b/>
        </w:rPr>
      </w:pPr>
    </w:p>
    <w:p w14:paraId="66E9B7A7" w14:textId="36353151" w:rsidR="00B10D6A" w:rsidRDefault="00B10D6A" w:rsidP="00B10D6A">
      <w:pPr>
        <w:pStyle w:val="ListParagraph"/>
        <w:numPr>
          <w:ilvl w:val="0"/>
          <w:numId w:val="3"/>
        </w:numPr>
        <w:spacing w:after="120"/>
        <w:contextualSpacing w:val="0"/>
      </w:pPr>
      <w:r w:rsidRPr="00B10D6A">
        <w:t>Characterize the goals of sustainability efforts in terms of human well-being; understand the factors and assets that determine progress towards well-being; and recognize the potential for interactions, trade-offs and unintended consequences in efforts made for sustainability goals.</w:t>
      </w:r>
    </w:p>
    <w:p w14:paraId="661D03A3" w14:textId="70146843" w:rsidR="00F26189" w:rsidRDefault="0087568C" w:rsidP="00E21550">
      <w:pPr>
        <w:pStyle w:val="ListParagraph"/>
        <w:numPr>
          <w:ilvl w:val="0"/>
          <w:numId w:val="3"/>
        </w:numPr>
        <w:spacing w:after="120"/>
        <w:contextualSpacing w:val="0"/>
      </w:pPr>
      <w:r>
        <w:t>A</w:t>
      </w:r>
      <w:r w:rsidR="00E21550">
        <w:t xml:space="preserve">rticulate the </w:t>
      </w:r>
      <w:r w:rsidR="00CA61CC">
        <w:t xml:space="preserve">values and </w:t>
      </w:r>
      <w:r w:rsidR="00E21550">
        <w:t xml:space="preserve">interests of different </w:t>
      </w:r>
      <w:r w:rsidR="00CA61CC">
        <w:t xml:space="preserve">stakeholders </w:t>
      </w:r>
      <w:r w:rsidR="00E21550">
        <w:t xml:space="preserve">involved in </w:t>
      </w:r>
      <w:r w:rsidR="00AB39A3">
        <w:t>sustainability issues</w:t>
      </w:r>
      <w:r w:rsidR="00F26189">
        <w:t>.</w:t>
      </w:r>
    </w:p>
    <w:p w14:paraId="0123197D" w14:textId="38A36988" w:rsidR="00E21550" w:rsidRDefault="00CA61CC" w:rsidP="00E21550">
      <w:pPr>
        <w:pStyle w:val="ListParagraph"/>
        <w:numPr>
          <w:ilvl w:val="0"/>
          <w:numId w:val="3"/>
        </w:numPr>
        <w:spacing w:after="120"/>
        <w:contextualSpacing w:val="0"/>
      </w:pPr>
      <w:r>
        <w:t xml:space="preserve">Identify </w:t>
      </w:r>
      <w:r w:rsidR="003126E0">
        <w:t xml:space="preserve">multiple types of knowledge </w:t>
      </w:r>
      <w:r>
        <w:t>needed to develop</w:t>
      </w:r>
      <w:r w:rsidR="00C02C42">
        <w:t xml:space="preserve"> </w:t>
      </w:r>
      <w:r w:rsidR="00F26189">
        <w:t>sustainable solutions for</w:t>
      </w:r>
      <w:r w:rsidR="0087568C">
        <w:t xml:space="preserve"> particular problems.</w:t>
      </w:r>
    </w:p>
    <w:p w14:paraId="3A957414" w14:textId="5F6B87DB" w:rsidR="00124AE0" w:rsidRDefault="0087568C" w:rsidP="007A63A0">
      <w:pPr>
        <w:pStyle w:val="ListParagraph"/>
        <w:numPr>
          <w:ilvl w:val="0"/>
          <w:numId w:val="3"/>
        </w:numPr>
        <w:spacing w:after="120"/>
        <w:contextualSpacing w:val="0"/>
      </w:pPr>
      <w:r>
        <w:lastRenderedPageBreak/>
        <w:t>R</w:t>
      </w:r>
      <w:r w:rsidR="00BF501A">
        <w:t>ecognize how</w:t>
      </w:r>
      <w:r w:rsidR="00775CBA">
        <w:t xml:space="preserve"> </w:t>
      </w:r>
      <w:r w:rsidR="00F26189">
        <w:t xml:space="preserve">temporal and spatial scales (in </w:t>
      </w:r>
      <w:r w:rsidR="005A5FE6">
        <w:t>governance arrangements, ecological</w:t>
      </w:r>
      <w:r w:rsidR="00F26189">
        <w:t xml:space="preserve"> and environmental</w:t>
      </w:r>
      <w:r w:rsidR="005A5FE6">
        <w:t xml:space="preserve"> </w:t>
      </w:r>
      <w:r w:rsidR="00F26189">
        <w:t xml:space="preserve">processes, and economic and social conditions) </w:t>
      </w:r>
      <w:r w:rsidR="00BF501A">
        <w:t>affect</w:t>
      </w:r>
      <w:r w:rsidR="00775CBA">
        <w:t xml:space="preserve"> </w:t>
      </w:r>
      <w:r w:rsidR="005A5FE6">
        <w:t xml:space="preserve">sustainable development problems and </w:t>
      </w:r>
      <w:r w:rsidR="00FB612E">
        <w:t>proposed solutions</w:t>
      </w:r>
      <w:r w:rsidR="005A5FE6">
        <w:t>.</w:t>
      </w:r>
    </w:p>
    <w:p w14:paraId="2528C5FE" w14:textId="77777777" w:rsidR="001813EC" w:rsidRPr="00124AE0" w:rsidRDefault="001813EC" w:rsidP="001813EC">
      <w:pPr>
        <w:pStyle w:val="ListParagraph"/>
        <w:spacing w:after="120"/>
        <w:ind w:left="360"/>
        <w:contextualSpacing w:val="0"/>
      </w:pPr>
    </w:p>
    <w:p w14:paraId="1EFC87BC" w14:textId="77777777" w:rsidR="00027349" w:rsidRDefault="008B3393" w:rsidP="00027349">
      <w:pPr>
        <w:pStyle w:val="Heading2"/>
      </w:pPr>
      <w:r>
        <w:t>Course-specific skills</w:t>
      </w:r>
    </w:p>
    <w:p w14:paraId="28102610" w14:textId="77777777" w:rsidR="001813EC" w:rsidRDefault="001813EC" w:rsidP="001813EC">
      <w:pPr>
        <w:spacing w:after="120"/>
      </w:pPr>
      <w:r>
        <w:t>In the process of achieving the course’s overall learning objectives and WAYS requirement, students will practice how to:</w:t>
      </w:r>
    </w:p>
    <w:p w14:paraId="0E9105DD" w14:textId="77777777" w:rsidR="001813EC" w:rsidRDefault="001813EC" w:rsidP="001813EC">
      <w:pPr>
        <w:pStyle w:val="ListParagraph"/>
        <w:numPr>
          <w:ilvl w:val="0"/>
          <w:numId w:val="5"/>
        </w:numPr>
        <w:spacing w:after="120"/>
      </w:pPr>
      <w:r>
        <w:t>Analyze biophysical and social science information about human-environment interactions (including interpreting data in scientific papers)</w:t>
      </w:r>
    </w:p>
    <w:p w14:paraId="6C9A9ECA" w14:textId="77777777" w:rsidR="001813EC" w:rsidRDefault="001813EC" w:rsidP="001813EC">
      <w:pPr>
        <w:pStyle w:val="ListParagraph"/>
        <w:numPr>
          <w:ilvl w:val="0"/>
          <w:numId w:val="5"/>
        </w:numPr>
        <w:spacing w:after="120"/>
      </w:pPr>
      <w:r>
        <w:t xml:space="preserve">Support their ideas with evidence while recognizing and describing counter-evidence </w:t>
      </w:r>
    </w:p>
    <w:p w14:paraId="2F5162DA" w14:textId="77777777" w:rsidR="001813EC" w:rsidRDefault="001813EC" w:rsidP="001813EC">
      <w:pPr>
        <w:pStyle w:val="ListParagraph"/>
        <w:numPr>
          <w:ilvl w:val="0"/>
          <w:numId w:val="5"/>
        </w:numPr>
        <w:spacing w:after="120"/>
      </w:pPr>
      <w:r>
        <w:t>Assess the strengths and weaknesses of different types of information and propose how multiple disciplines might contribute to sustainability goals</w:t>
      </w:r>
    </w:p>
    <w:p w14:paraId="604A0689" w14:textId="50DBE9AC" w:rsidR="001813EC" w:rsidRDefault="00CA61CC" w:rsidP="001813EC">
      <w:pPr>
        <w:pStyle w:val="ListParagraph"/>
        <w:numPr>
          <w:ilvl w:val="0"/>
          <w:numId w:val="5"/>
        </w:numPr>
        <w:spacing w:after="120"/>
      </w:pPr>
      <w:r>
        <w:t>E</w:t>
      </w:r>
      <w:r w:rsidR="001813EC">
        <w:t xml:space="preserve">ffectively communicate </w:t>
      </w:r>
      <w:r>
        <w:t>to wider audience</w:t>
      </w:r>
      <w:r w:rsidR="00AC5D34">
        <w:t>s</w:t>
      </w:r>
      <w:r>
        <w:t xml:space="preserve"> </w:t>
      </w:r>
      <w:r w:rsidR="00AC5D34">
        <w:t xml:space="preserve">the dynamics of complex systems </w:t>
      </w:r>
      <w:r>
        <w:t>using</w:t>
      </w:r>
      <w:r w:rsidR="00AC5D34">
        <w:t xml:space="preserve"> scientific knowledge, evidence, and reasoned argumentation.</w:t>
      </w:r>
      <w:r w:rsidR="001813EC">
        <w:t xml:space="preserve"> </w:t>
      </w:r>
    </w:p>
    <w:p w14:paraId="1292E86E" w14:textId="77777777" w:rsidR="00124AE0" w:rsidRDefault="00124AE0" w:rsidP="00124AE0">
      <w:pPr>
        <w:keepNext/>
        <w:rPr>
          <w:b/>
        </w:rPr>
      </w:pPr>
    </w:p>
    <w:p w14:paraId="28EB75A4" w14:textId="77777777" w:rsidR="009C296E" w:rsidRDefault="009C296E" w:rsidP="00027349">
      <w:pPr>
        <w:pStyle w:val="Heading2"/>
      </w:pPr>
      <w:r>
        <w:t xml:space="preserve">Ways of Thinking/Ways of Doing Breadth </w:t>
      </w:r>
      <w:r w:rsidRPr="00027349">
        <w:t>Requirement</w:t>
      </w:r>
    </w:p>
    <w:p w14:paraId="6C0CD876" w14:textId="77777777" w:rsidR="001251F9" w:rsidRDefault="001251F9" w:rsidP="001251F9">
      <w:r w:rsidRPr="001251F9">
        <w:t xml:space="preserve">This Thinking Matters course satisfies the following WAYS requirement areas: </w:t>
      </w:r>
    </w:p>
    <w:p w14:paraId="33238DAA" w14:textId="77777777" w:rsidR="00BB00F3" w:rsidRPr="001251F9" w:rsidRDefault="00BB00F3" w:rsidP="001251F9"/>
    <w:p w14:paraId="43D9166F" w14:textId="63928C7D" w:rsidR="009C296E" w:rsidRDefault="001251F9" w:rsidP="00B56B2E">
      <w:pPr>
        <w:pStyle w:val="ListParagraph"/>
        <w:numPr>
          <w:ilvl w:val="0"/>
          <w:numId w:val="8"/>
        </w:numPr>
      </w:pPr>
      <w:r w:rsidRPr="00C36E60">
        <w:rPr>
          <w:b/>
        </w:rPr>
        <w:t>Scientific Method and Analysis</w:t>
      </w:r>
      <w:r w:rsidR="00C36E60" w:rsidRPr="00C36E60">
        <w:rPr>
          <w:b/>
        </w:rPr>
        <w:t xml:space="preserve">. </w:t>
      </w:r>
      <w:r w:rsidR="00E37BB2">
        <w:t>We will incorporate an exploration of the scientific way of thinking throughout this course. Case studies presented in lectures will highlight how scientific ways of thinking were employed in specific circumstances</w:t>
      </w:r>
      <w:r w:rsidR="00906234">
        <w:t xml:space="preserve"> and how they contributed to sustainable or unsustainable practices. Students will learn to identify scientific research processes in course readings and explain the methods to their peers. </w:t>
      </w:r>
      <w:r w:rsidR="00060D7E">
        <w:t>In course assignments, students will practice key</w:t>
      </w:r>
      <w:r w:rsidR="00906234">
        <w:t xml:space="preserve"> elements of the scientific method </w:t>
      </w:r>
      <w:r w:rsidR="00F578B6">
        <w:t>(</w:t>
      </w:r>
      <w:r w:rsidR="00906234">
        <w:t xml:space="preserve">such as </w:t>
      </w:r>
      <w:r w:rsidR="00AD538A">
        <w:t xml:space="preserve">considering current knowledge, questioning research processes, and </w:t>
      </w:r>
      <w:r w:rsidR="00720DDF">
        <w:t>exploring data sets</w:t>
      </w:r>
      <w:r w:rsidR="00F578B6">
        <w:t>)</w:t>
      </w:r>
      <w:r w:rsidR="00060D7E">
        <w:t xml:space="preserve">. Further, students will practice translating scientific research results into information for the general public and for policy-making processes. </w:t>
      </w:r>
    </w:p>
    <w:p w14:paraId="7A3E8BFE" w14:textId="77777777" w:rsidR="001251F9" w:rsidRDefault="001251F9" w:rsidP="001251F9"/>
    <w:p w14:paraId="0D440CE1" w14:textId="21737889" w:rsidR="006A00DA" w:rsidRPr="00950F49" w:rsidRDefault="001E6357" w:rsidP="00950F49">
      <w:pPr>
        <w:pStyle w:val="Heading1"/>
      </w:pPr>
      <w:r w:rsidRPr="001E6357">
        <w:t xml:space="preserve">Required </w:t>
      </w:r>
      <w:r w:rsidR="00087C48">
        <w:t>Reading</w:t>
      </w:r>
    </w:p>
    <w:p w14:paraId="7B370DFA" w14:textId="06D832C6" w:rsidR="006A00DA" w:rsidRDefault="00307474" w:rsidP="006A00DA">
      <w:pPr>
        <w:pStyle w:val="ListParagraph"/>
        <w:numPr>
          <w:ilvl w:val="0"/>
          <w:numId w:val="5"/>
        </w:numPr>
        <w:spacing w:after="120"/>
      </w:pPr>
      <w:r>
        <w:t>Links to required</w:t>
      </w:r>
      <w:r w:rsidR="006A00DA">
        <w:t xml:space="preserve"> readings will be posted to </w:t>
      </w:r>
      <w:r w:rsidR="006B3AAD" w:rsidRPr="00605A11">
        <w:t>Canvas</w:t>
      </w:r>
      <w:r w:rsidR="00EB1494">
        <w:rPr>
          <w:rStyle w:val="FootnoteReference"/>
        </w:rPr>
        <w:footnoteReference w:id="1"/>
      </w:r>
      <w:r w:rsidR="006A00DA">
        <w:t xml:space="preserve">. </w:t>
      </w:r>
      <w:r w:rsidR="006A00DA" w:rsidRPr="00201C6F">
        <w:rPr>
          <w:i/>
        </w:rPr>
        <w:t>Students are responsible</w:t>
      </w:r>
      <w:r w:rsidR="006A00DA">
        <w:t xml:space="preserve"> for downloading and printing or saving these articles to their device of choice.</w:t>
      </w:r>
      <w:r w:rsidR="00201C6F">
        <w:t xml:space="preserve"> All readings are accessible with Stanford Student permissions through the Stanford Library and Google Scholar.</w:t>
      </w:r>
    </w:p>
    <w:p w14:paraId="53A6486D" w14:textId="3C616C98" w:rsidR="006B3AAD" w:rsidRDefault="006B3AAD" w:rsidP="006A00DA">
      <w:pPr>
        <w:pStyle w:val="ListParagraph"/>
        <w:numPr>
          <w:ilvl w:val="0"/>
          <w:numId w:val="5"/>
        </w:numPr>
        <w:spacing w:after="120"/>
      </w:pPr>
      <w:r>
        <w:t xml:space="preserve">Students are expected to complete the reading </w:t>
      </w:r>
      <w:r w:rsidRPr="006B3AAD">
        <w:rPr>
          <w:i/>
        </w:rPr>
        <w:t>before</w:t>
      </w:r>
      <w:r>
        <w:t xml:space="preserve"> the start of class on the day the</w:t>
      </w:r>
      <w:r w:rsidR="00950F49">
        <w:t xml:space="preserve"> reading is</w:t>
      </w:r>
      <w:r>
        <w:t xml:space="preserve"> assigned. </w:t>
      </w:r>
      <w:r w:rsidR="00950F49">
        <w:t xml:space="preserve">In addition, </w:t>
      </w:r>
      <w:r w:rsidR="00950F49" w:rsidRPr="00103834">
        <w:rPr>
          <w:u w:val="single"/>
        </w:rPr>
        <w:t xml:space="preserve">reading </w:t>
      </w:r>
      <w:r w:rsidR="000306BB" w:rsidRPr="00103834">
        <w:rPr>
          <w:u w:val="single"/>
        </w:rPr>
        <w:t>responses</w:t>
      </w:r>
      <w:r w:rsidR="000306BB">
        <w:t xml:space="preserve"> </w:t>
      </w:r>
      <w:r w:rsidR="00103834">
        <w:t xml:space="preserve">are </w:t>
      </w:r>
      <w:r w:rsidR="000306BB">
        <w:t xml:space="preserve">due </w:t>
      </w:r>
      <w:r w:rsidR="0011145A">
        <w:t xml:space="preserve">on days noted </w:t>
      </w:r>
      <w:r w:rsidR="000306BB">
        <w:t>on the course calendar</w:t>
      </w:r>
      <w:r w:rsidR="00EB1494">
        <w:t xml:space="preserve"> (usually on Wednesdays)</w:t>
      </w:r>
      <w:r w:rsidR="00950F49">
        <w:t>.</w:t>
      </w:r>
      <w:r w:rsidR="0011145A">
        <w:t xml:space="preserve"> Unless stated otherwise, reading responses are due at the beginning of lecture.</w:t>
      </w:r>
      <w:r w:rsidR="00EB1494">
        <w:t xml:space="preserve"> Students are allowed </w:t>
      </w:r>
      <w:r w:rsidR="00D97A56">
        <w:t>two free "passes" on reading responses during the quarter.</w:t>
      </w:r>
    </w:p>
    <w:p w14:paraId="7E19F4B5" w14:textId="04ABCAB0" w:rsidR="003F71B2" w:rsidRPr="00932D94" w:rsidRDefault="00932D94" w:rsidP="00027349">
      <w:pPr>
        <w:pStyle w:val="Heading1"/>
      </w:pPr>
      <w:r w:rsidRPr="00932D94">
        <w:lastRenderedPageBreak/>
        <w:t>Assignments</w:t>
      </w:r>
      <w:r w:rsidR="00BF501A">
        <w:t xml:space="preserve"> and </w:t>
      </w:r>
      <w:r w:rsidR="00C653AE">
        <w:t>Evaluation</w:t>
      </w:r>
      <w:r w:rsidR="00BF501A">
        <w:t xml:space="preserve"> </w:t>
      </w:r>
    </w:p>
    <w:p w14:paraId="49E7AC55" w14:textId="77777777" w:rsidR="001813EC" w:rsidRDefault="001813EC" w:rsidP="00027349">
      <w:pPr>
        <w:pStyle w:val="Heading2"/>
      </w:pPr>
      <w:r w:rsidRPr="001E6357">
        <w:t>Workload Expectations</w:t>
      </w:r>
    </w:p>
    <w:p w14:paraId="25CAA0CF" w14:textId="77777777" w:rsidR="001813EC" w:rsidRDefault="001813EC" w:rsidP="001813EC">
      <w:r w:rsidRPr="001E6357">
        <w:t xml:space="preserve">Students are expected to devote at least two hours of preparation out of class for each 50 minutes of class time, both for lectures and sections, for a minimum of eight hours of preparation per week.  </w:t>
      </w:r>
    </w:p>
    <w:p w14:paraId="6987EFC0" w14:textId="77777777" w:rsidR="001813EC" w:rsidRDefault="001813EC" w:rsidP="001813EC"/>
    <w:p w14:paraId="721E02BB" w14:textId="79DC7681" w:rsidR="000306BB" w:rsidRDefault="001813EC" w:rsidP="001813EC">
      <w:pPr>
        <w:keepNext/>
      </w:pPr>
      <w:r>
        <w:t>The following are required:</w:t>
      </w:r>
    </w:p>
    <w:p w14:paraId="333FCC08" w14:textId="5335CFCB" w:rsidR="001813EC" w:rsidRDefault="001813EC" w:rsidP="001813EC">
      <w:pPr>
        <w:pStyle w:val="ListParagraph"/>
        <w:numPr>
          <w:ilvl w:val="0"/>
          <w:numId w:val="9"/>
        </w:numPr>
      </w:pPr>
      <w:r>
        <w:t xml:space="preserve">Lecture </w:t>
      </w:r>
      <w:r w:rsidR="00027349">
        <w:t>a</w:t>
      </w:r>
      <w:r>
        <w:t xml:space="preserve">ttendance </w:t>
      </w:r>
      <w:r w:rsidR="00027349">
        <w:t>and participation</w:t>
      </w:r>
    </w:p>
    <w:p w14:paraId="31831D6F" w14:textId="77777777" w:rsidR="001813EC" w:rsidRDefault="001813EC" w:rsidP="001813EC">
      <w:pPr>
        <w:pStyle w:val="ListParagraph"/>
        <w:numPr>
          <w:ilvl w:val="0"/>
          <w:numId w:val="9"/>
        </w:numPr>
      </w:pPr>
      <w:r>
        <w:t>Written assignments and course projects (detailed further below)</w:t>
      </w:r>
    </w:p>
    <w:p w14:paraId="0E0CEC97" w14:textId="77777777" w:rsidR="001813EC" w:rsidRDefault="001813EC" w:rsidP="001813EC">
      <w:pPr>
        <w:pStyle w:val="ListParagraph"/>
        <w:numPr>
          <w:ilvl w:val="0"/>
          <w:numId w:val="9"/>
        </w:numPr>
      </w:pPr>
      <w:r>
        <w:t>Section attendance and participation, including 3 tutorials (outside-of-class meetings with section leaders) per quarter</w:t>
      </w:r>
    </w:p>
    <w:p w14:paraId="5CFBF0B6" w14:textId="77777777" w:rsidR="001813EC" w:rsidRDefault="001813EC" w:rsidP="00C653AE">
      <w:pPr>
        <w:rPr>
          <w:b/>
        </w:rPr>
      </w:pPr>
    </w:p>
    <w:p w14:paraId="2519FD5F" w14:textId="77777777" w:rsidR="00C653AE" w:rsidRDefault="00C653AE" w:rsidP="003A2B4B">
      <w:pPr>
        <w:pStyle w:val="Heading2"/>
      </w:pPr>
      <w:r w:rsidRPr="00C653AE">
        <w:t>Thinking Matters Assignments</w:t>
      </w:r>
    </w:p>
    <w:p w14:paraId="7119E4E6" w14:textId="5CAA4D9A" w:rsidR="00C653AE" w:rsidRPr="00C653AE" w:rsidRDefault="00C653AE" w:rsidP="00C653AE">
      <w:r w:rsidRPr="00C653AE">
        <w:t>Thinking Matters assignments challenge students to ask authentic and rigorous</w:t>
      </w:r>
      <w:r w:rsidRPr="00C653AE">
        <w:rPr>
          <w:b/>
        </w:rPr>
        <w:t xml:space="preserve"> questions</w:t>
      </w:r>
      <w:r w:rsidRPr="00C653AE">
        <w:t xml:space="preserve"> that will guide their exploration of a topic.  Students apply their questions to a critical analysis of material using approaches appropriate to the scholarly me</w:t>
      </w:r>
      <w:r w:rsidR="00AB4026">
        <w:t xml:space="preserve">thods modeled in the course -- </w:t>
      </w:r>
      <w:r w:rsidRPr="00C653AE">
        <w:t xml:space="preserve">such as close reading of a literary text or film; consideration  of context or history; assessment of ethical or scientific models; and accurate measurement of observable data. </w:t>
      </w:r>
    </w:p>
    <w:p w14:paraId="096F3F06" w14:textId="77777777" w:rsidR="00C653AE" w:rsidRPr="00C653AE" w:rsidRDefault="00C653AE" w:rsidP="00C653AE"/>
    <w:p w14:paraId="0BD17936" w14:textId="77777777" w:rsidR="00C653AE" w:rsidRPr="00C653AE" w:rsidRDefault="00C653AE" w:rsidP="00C653AE">
      <w:r w:rsidRPr="00C653AE">
        <w:t xml:space="preserve">Upon completion of this exploration (reading, assessment, measurement etc.), students develop a </w:t>
      </w:r>
      <w:r w:rsidRPr="00C653AE">
        <w:rPr>
          <w:b/>
        </w:rPr>
        <w:t>claim</w:t>
      </w:r>
      <w:r w:rsidRPr="00C653AE">
        <w:t xml:space="preserve"> about the topic, connected to the course material and relevant to their guiding questions, in order to articulate a critical perspective in a logical and sustained </w:t>
      </w:r>
      <w:r w:rsidRPr="00C653AE">
        <w:rPr>
          <w:b/>
        </w:rPr>
        <w:t>argument</w:t>
      </w:r>
      <w:r w:rsidRPr="00C653AE">
        <w:t xml:space="preserve">.  </w:t>
      </w:r>
    </w:p>
    <w:p w14:paraId="7E23D0A6" w14:textId="77777777" w:rsidR="00C653AE" w:rsidRPr="00C653AE" w:rsidRDefault="00C653AE" w:rsidP="00C653AE"/>
    <w:p w14:paraId="3F086DCF" w14:textId="77777777" w:rsidR="00C653AE" w:rsidRPr="00C653AE" w:rsidRDefault="00C653AE" w:rsidP="00C653AE">
      <w:r w:rsidRPr="00C653AE">
        <w:rPr>
          <w:b/>
        </w:rPr>
        <w:t>Evidence</w:t>
      </w:r>
      <w:r w:rsidRPr="00C653AE">
        <w:t xml:space="preserve"> drawn from the analysis is organized to support the claim and to persuade the reader of the validity of the argument. </w:t>
      </w:r>
    </w:p>
    <w:p w14:paraId="416981A1" w14:textId="77777777" w:rsidR="00C653AE" w:rsidRPr="00C653AE" w:rsidRDefault="00C653AE" w:rsidP="00C653AE"/>
    <w:p w14:paraId="079ED8C1" w14:textId="77777777" w:rsidR="00C653AE" w:rsidRPr="00C653AE" w:rsidRDefault="00C653AE" w:rsidP="00C653AE">
      <w:r w:rsidRPr="00C653AE">
        <w:t xml:space="preserve">Students’ </w:t>
      </w:r>
      <w:r w:rsidRPr="00C653AE">
        <w:rPr>
          <w:b/>
        </w:rPr>
        <w:t>communication</w:t>
      </w:r>
      <w:r w:rsidRPr="00C653AE">
        <w:t xml:space="preserve"> of the questions, the claim, the argument and the evidence cohere in a </w:t>
      </w:r>
      <w:r w:rsidRPr="00C653AE">
        <w:rPr>
          <w:b/>
        </w:rPr>
        <w:t>presentation</w:t>
      </w:r>
      <w:r w:rsidRPr="00C653AE">
        <w:t xml:space="preserve"> that conveys the extent to which critical thinking skills have been learned through the assignment. </w:t>
      </w:r>
    </w:p>
    <w:p w14:paraId="73EE20BA" w14:textId="77777777" w:rsidR="00C653AE" w:rsidRPr="00C653AE" w:rsidRDefault="00C653AE" w:rsidP="00C653AE"/>
    <w:p w14:paraId="19BB3DB5" w14:textId="70D50CB2" w:rsidR="0011145A" w:rsidRPr="00C653AE" w:rsidRDefault="00C653AE" w:rsidP="00C653AE">
      <w:r w:rsidRPr="00C653AE">
        <w:t xml:space="preserve">Evaluation of student work is tied to achievement of standards articulated for each of the four dimensions of the assignment:   </w:t>
      </w:r>
    </w:p>
    <w:p w14:paraId="3D670418" w14:textId="77777777" w:rsidR="00C653AE" w:rsidRPr="00C653AE" w:rsidRDefault="00C653AE" w:rsidP="00C653AE">
      <w:pPr>
        <w:numPr>
          <w:ilvl w:val="0"/>
          <w:numId w:val="11"/>
        </w:numPr>
      </w:pPr>
      <w:r w:rsidRPr="00C653AE">
        <w:rPr>
          <w:b/>
        </w:rPr>
        <w:t>Questions</w:t>
      </w:r>
      <w:r w:rsidRPr="00C653AE">
        <w:t xml:space="preserve"> developing from a critical engagement with course material and lecture:  </w:t>
      </w:r>
    </w:p>
    <w:p w14:paraId="3414E24A" w14:textId="77777777" w:rsidR="00C653AE" w:rsidRPr="00C653AE" w:rsidRDefault="00C653AE" w:rsidP="00C653AE">
      <w:pPr>
        <w:numPr>
          <w:ilvl w:val="1"/>
          <w:numId w:val="11"/>
        </w:numPr>
      </w:pPr>
      <w:r w:rsidRPr="00C653AE">
        <w:t xml:space="preserve">significant, answerable, penetrating </w:t>
      </w:r>
    </w:p>
    <w:p w14:paraId="2039F4FF" w14:textId="77777777" w:rsidR="00C653AE" w:rsidRPr="00C653AE" w:rsidRDefault="00C653AE" w:rsidP="003A2B4B">
      <w:pPr>
        <w:keepNext/>
        <w:numPr>
          <w:ilvl w:val="0"/>
          <w:numId w:val="11"/>
        </w:numPr>
      </w:pPr>
      <w:r w:rsidRPr="00C653AE">
        <w:rPr>
          <w:b/>
        </w:rPr>
        <w:t>Claim and argument</w:t>
      </w:r>
      <w:r w:rsidRPr="00C653AE">
        <w:t xml:space="preserve">: </w:t>
      </w:r>
    </w:p>
    <w:p w14:paraId="6A789262" w14:textId="77777777" w:rsidR="00C653AE" w:rsidRPr="00C653AE" w:rsidRDefault="00C653AE" w:rsidP="00C653AE">
      <w:pPr>
        <w:numPr>
          <w:ilvl w:val="1"/>
          <w:numId w:val="11"/>
        </w:numPr>
      </w:pPr>
      <w:r w:rsidRPr="00C653AE">
        <w:t xml:space="preserve">analytical, logical, complex, original  </w:t>
      </w:r>
    </w:p>
    <w:p w14:paraId="2E9498D6" w14:textId="77777777" w:rsidR="00C653AE" w:rsidRPr="00C653AE" w:rsidRDefault="00C653AE" w:rsidP="00C653AE">
      <w:pPr>
        <w:numPr>
          <w:ilvl w:val="0"/>
          <w:numId w:val="11"/>
        </w:numPr>
      </w:pPr>
      <w:r w:rsidRPr="00C653AE">
        <w:rPr>
          <w:b/>
        </w:rPr>
        <w:t>Evidence</w:t>
      </w:r>
      <w:r w:rsidRPr="00C653AE">
        <w:t xml:space="preserve"> in support of claim or argument:  </w:t>
      </w:r>
    </w:p>
    <w:p w14:paraId="15B81E6A" w14:textId="77777777" w:rsidR="00C653AE" w:rsidRPr="00C653AE" w:rsidRDefault="00C653AE" w:rsidP="00C653AE">
      <w:pPr>
        <w:numPr>
          <w:ilvl w:val="1"/>
          <w:numId w:val="11"/>
        </w:numPr>
      </w:pPr>
      <w:r w:rsidRPr="00C653AE">
        <w:t xml:space="preserve">relevant, accurate, sufficient, persuasive, thorough </w:t>
      </w:r>
    </w:p>
    <w:p w14:paraId="537385B9" w14:textId="77777777" w:rsidR="00C653AE" w:rsidRPr="00C653AE" w:rsidRDefault="00C653AE" w:rsidP="00C653AE">
      <w:pPr>
        <w:numPr>
          <w:ilvl w:val="0"/>
          <w:numId w:val="11"/>
        </w:numPr>
      </w:pPr>
      <w:r w:rsidRPr="00C653AE">
        <w:rPr>
          <w:b/>
        </w:rPr>
        <w:t>Communication and presentation</w:t>
      </w:r>
      <w:r w:rsidRPr="00C653AE">
        <w:t xml:space="preserve">: </w:t>
      </w:r>
    </w:p>
    <w:p w14:paraId="11DDF369" w14:textId="77777777" w:rsidR="00C653AE" w:rsidRPr="00C653AE" w:rsidRDefault="00C653AE" w:rsidP="00C653AE">
      <w:pPr>
        <w:numPr>
          <w:ilvl w:val="1"/>
          <w:numId w:val="11"/>
        </w:numPr>
      </w:pPr>
      <w:r w:rsidRPr="00C653AE">
        <w:t>coherent, precise, convincing, easy-to-follow, engaging</w:t>
      </w:r>
    </w:p>
    <w:p w14:paraId="0ACFB786" w14:textId="77777777" w:rsidR="00C653AE" w:rsidRDefault="00C653AE"/>
    <w:p w14:paraId="5DC041E1" w14:textId="77777777" w:rsidR="00C653AE" w:rsidRDefault="00C653AE" w:rsidP="003A2B4B">
      <w:pPr>
        <w:pStyle w:val="Heading2"/>
      </w:pPr>
      <w:r w:rsidRPr="00C653AE">
        <w:lastRenderedPageBreak/>
        <w:t>Course Assignments</w:t>
      </w:r>
    </w:p>
    <w:p w14:paraId="33AC4967" w14:textId="77777777" w:rsidR="00932D94" w:rsidRDefault="00E82B13">
      <w:r>
        <w:t>The course assignments are designed to reinforce</w:t>
      </w:r>
      <w:r w:rsidR="0023497B">
        <w:t xml:space="preserve"> course content ideas </w:t>
      </w:r>
      <w:r>
        <w:t xml:space="preserve">and give students practice at progressively more sophisticated </w:t>
      </w:r>
      <w:r w:rsidR="0023497B">
        <w:t>critical thinking regarding human-environment</w:t>
      </w:r>
      <w:r w:rsidR="00050765">
        <w:t xml:space="preserve"> issues and sustainability science.</w:t>
      </w:r>
      <w:r w:rsidR="006F3FF4">
        <w:t xml:space="preserve"> </w:t>
      </w:r>
    </w:p>
    <w:p w14:paraId="7388C723" w14:textId="77777777" w:rsidR="00D60F37" w:rsidRDefault="00D60F37"/>
    <w:p w14:paraId="614C77EF" w14:textId="77777777" w:rsidR="00BF501A" w:rsidRDefault="00BF501A">
      <w:r>
        <w:t>Detailed assignment instructions will be given in advance of each assignment.</w:t>
      </w:r>
    </w:p>
    <w:p w14:paraId="4DA1ED28" w14:textId="77777777" w:rsidR="00BF501A" w:rsidRDefault="00BF50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698"/>
      </w:tblGrid>
      <w:tr w:rsidR="00BF501A" w:rsidRPr="00BF501A" w14:paraId="62B0DC32" w14:textId="77777777">
        <w:trPr>
          <w:cantSplit/>
        </w:trPr>
        <w:tc>
          <w:tcPr>
            <w:tcW w:w="4518" w:type="dxa"/>
            <w:tcBorders>
              <w:bottom w:val="single" w:sz="4" w:space="0" w:color="auto"/>
            </w:tcBorders>
            <w:vAlign w:val="bottom"/>
          </w:tcPr>
          <w:p w14:paraId="5813EF7F" w14:textId="77777777" w:rsidR="00BF501A" w:rsidRPr="00BF501A" w:rsidRDefault="00BF501A" w:rsidP="00CC71A3">
            <w:pPr>
              <w:keepNext/>
              <w:jc w:val="center"/>
              <w:rPr>
                <w:b/>
              </w:rPr>
            </w:pPr>
            <w:r w:rsidRPr="00BF501A">
              <w:rPr>
                <w:b/>
              </w:rPr>
              <w:t>Assignment</w:t>
            </w:r>
          </w:p>
        </w:tc>
        <w:tc>
          <w:tcPr>
            <w:tcW w:w="1698" w:type="dxa"/>
            <w:tcBorders>
              <w:bottom w:val="single" w:sz="4" w:space="0" w:color="auto"/>
            </w:tcBorders>
            <w:vAlign w:val="bottom"/>
          </w:tcPr>
          <w:p w14:paraId="0FD7BE6C" w14:textId="77777777" w:rsidR="00BF501A" w:rsidRPr="00BF501A" w:rsidRDefault="00CC71A3" w:rsidP="00CC71A3">
            <w:pPr>
              <w:keepNext/>
              <w:jc w:val="center"/>
              <w:rPr>
                <w:b/>
              </w:rPr>
            </w:pPr>
            <w:r>
              <w:rPr>
                <w:b/>
              </w:rPr>
              <w:t>Percent</w:t>
            </w:r>
            <w:r w:rsidR="00BF501A" w:rsidRPr="00BF501A">
              <w:rPr>
                <w:b/>
              </w:rPr>
              <w:t xml:space="preserve"> of Grade</w:t>
            </w:r>
          </w:p>
        </w:tc>
      </w:tr>
      <w:tr w:rsidR="00BF501A" w:rsidRPr="002566B9" w14:paraId="28A9A54B" w14:textId="77777777">
        <w:trPr>
          <w:cantSplit/>
        </w:trPr>
        <w:tc>
          <w:tcPr>
            <w:tcW w:w="4518" w:type="dxa"/>
            <w:tcBorders>
              <w:top w:val="single" w:sz="4" w:space="0" w:color="auto"/>
            </w:tcBorders>
          </w:tcPr>
          <w:p w14:paraId="35FC5563" w14:textId="77777777" w:rsidR="00BF501A" w:rsidRPr="002566B9" w:rsidRDefault="00BF501A" w:rsidP="00004757">
            <w:pPr>
              <w:keepNext/>
              <w:rPr>
                <w:b/>
              </w:rPr>
            </w:pPr>
            <w:r w:rsidRPr="002566B9">
              <w:rPr>
                <w:b/>
              </w:rPr>
              <w:t>Participation</w:t>
            </w:r>
          </w:p>
        </w:tc>
        <w:tc>
          <w:tcPr>
            <w:tcW w:w="1698" w:type="dxa"/>
            <w:tcBorders>
              <w:top w:val="single" w:sz="4" w:space="0" w:color="auto"/>
            </w:tcBorders>
          </w:tcPr>
          <w:p w14:paraId="2C648E08" w14:textId="22A5EBF4" w:rsidR="00BF501A" w:rsidRPr="002566B9" w:rsidRDefault="00E15430" w:rsidP="00004757">
            <w:pPr>
              <w:keepNext/>
              <w:rPr>
                <w:b/>
              </w:rPr>
            </w:pPr>
            <w:r>
              <w:rPr>
                <w:b/>
              </w:rPr>
              <w:t>2</w:t>
            </w:r>
            <w:r w:rsidR="00FA1A74">
              <w:rPr>
                <w:b/>
              </w:rPr>
              <w:t>0</w:t>
            </w:r>
            <w:r w:rsidR="00BF501A" w:rsidRPr="002566B9">
              <w:rPr>
                <w:b/>
              </w:rPr>
              <w:t>%</w:t>
            </w:r>
          </w:p>
        </w:tc>
      </w:tr>
      <w:tr w:rsidR="00585689" w:rsidRPr="00585689" w14:paraId="3032483A" w14:textId="77777777">
        <w:trPr>
          <w:cantSplit/>
        </w:trPr>
        <w:tc>
          <w:tcPr>
            <w:tcW w:w="4518" w:type="dxa"/>
          </w:tcPr>
          <w:p w14:paraId="0F3706AA" w14:textId="55A16753" w:rsidR="00585689" w:rsidRPr="00585689" w:rsidRDefault="00923326" w:rsidP="00923326">
            <w:pPr>
              <w:keepNext/>
              <w:ind w:left="432"/>
              <w:rPr>
                <w:i/>
              </w:rPr>
            </w:pPr>
            <w:r>
              <w:rPr>
                <w:i/>
              </w:rPr>
              <w:t>L</w:t>
            </w:r>
            <w:r w:rsidR="00CF6F0A">
              <w:rPr>
                <w:i/>
              </w:rPr>
              <w:t xml:space="preserve">ecture </w:t>
            </w:r>
            <w:r>
              <w:rPr>
                <w:i/>
              </w:rPr>
              <w:t>participation</w:t>
            </w:r>
          </w:p>
        </w:tc>
        <w:tc>
          <w:tcPr>
            <w:tcW w:w="1698" w:type="dxa"/>
          </w:tcPr>
          <w:p w14:paraId="4D07681F" w14:textId="0E25990B" w:rsidR="00585689" w:rsidRPr="00585689" w:rsidRDefault="00D763E4" w:rsidP="00004757">
            <w:pPr>
              <w:keepNext/>
              <w:ind w:left="432"/>
              <w:rPr>
                <w:i/>
              </w:rPr>
            </w:pPr>
            <w:r>
              <w:rPr>
                <w:i/>
              </w:rPr>
              <w:t>(</w:t>
            </w:r>
            <w:r w:rsidR="00AB4026">
              <w:rPr>
                <w:i/>
              </w:rPr>
              <w:t>10</w:t>
            </w:r>
            <w:r w:rsidR="00585689">
              <w:rPr>
                <w:i/>
              </w:rPr>
              <w:t>%</w:t>
            </w:r>
            <w:r>
              <w:rPr>
                <w:i/>
              </w:rPr>
              <w:t>)</w:t>
            </w:r>
          </w:p>
        </w:tc>
      </w:tr>
      <w:tr w:rsidR="00AB4026" w:rsidRPr="00585689" w14:paraId="345C3E8C" w14:textId="77777777">
        <w:trPr>
          <w:cantSplit/>
        </w:trPr>
        <w:tc>
          <w:tcPr>
            <w:tcW w:w="4518" w:type="dxa"/>
          </w:tcPr>
          <w:p w14:paraId="6F2E588E" w14:textId="2C05CBEC" w:rsidR="00AB4026" w:rsidRPr="00585689" w:rsidRDefault="00923326" w:rsidP="002E5362">
            <w:pPr>
              <w:keepNext/>
              <w:ind w:left="432"/>
              <w:rPr>
                <w:i/>
              </w:rPr>
            </w:pPr>
            <w:r>
              <w:rPr>
                <w:i/>
              </w:rPr>
              <w:t>Section participation</w:t>
            </w:r>
          </w:p>
        </w:tc>
        <w:tc>
          <w:tcPr>
            <w:tcW w:w="1698" w:type="dxa"/>
          </w:tcPr>
          <w:p w14:paraId="60082ABB" w14:textId="446E6F1F" w:rsidR="00AB4026" w:rsidRDefault="00AB4026" w:rsidP="00004757">
            <w:pPr>
              <w:keepNext/>
              <w:ind w:left="432"/>
              <w:rPr>
                <w:i/>
              </w:rPr>
            </w:pPr>
            <w:r>
              <w:rPr>
                <w:i/>
              </w:rPr>
              <w:t>(10%)</w:t>
            </w:r>
          </w:p>
        </w:tc>
      </w:tr>
      <w:tr w:rsidR="00E15430" w:rsidRPr="00AB4026" w14:paraId="6B62781A" w14:textId="77777777">
        <w:trPr>
          <w:cantSplit/>
        </w:trPr>
        <w:tc>
          <w:tcPr>
            <w:tcW w:w="4518" w:type="dxa"/>
          </w:tcPr>
          <w:p w14:paraId="2D5E6ABA" w14:textId="3BA67063" w:rsidR="00E15430" w:rsidRPr="00AB4026" w:rsidRDefault="00E15430" w:rsidP="00AB4026">
            <w:pPr>
              <w:keepNext/>
              <w:rPr>
                <w:b/>
              </w:rPr>
            </w:pPr>
            <w:r>
              <w:rPr>
                <w:b/>
              </w:rPr>
              <w:t>Reading responses</w:t>
            </w:r>
          </w:p>
        </w:tc>
        <w:tc>
          <w:tcPr>
            <w:tcW w:w="1698" w:type="dxa"/>
          </w:tcPr>
          <w:p w14:paraId="1A312B9A" w14:textId="7B3251DD" w:rsidR="00E15430" w:rsidRPr="00AB4026" w:rsidRDefault="00E15430" w:rsidP="00AB4026">
            <w:pPr>
              <w:keepNext/>
              <w:rPr>
                <w:b/>
              </w:rPr>
            </w:pPr>
            <w:r>
              <w:rPr>
                <w:b/>
              </w:rPr>
              <w:t>10%</w:t>
            </w:r>
          </w:p>
        </w:tc>
      </w:tr>
      <w:tr w:rsidR="00AB4026" w:rsidRPr="00AB4026" w14:paraId="3E0A4FFE" w14:textId="77777777">
        <w:trPr>
          <w:cantSplit/>
        </w:trPr>
        <w:tc>
          <w:tcPr>
            <w:tcW w:w="4518" w:type="dxa"/>
          </w:tcPr>
          <w:p w14:paraId="0C563378" w14:textId="56A4FD9A" w:rsidR="00AB4026" w:rsidRDefault="00AB4026" w:rsidP="00AB4026">
            <w:pPr>
              <w:keepNext/>
              <w:rPr>
                <w:b/>
              </w:rPr>
            </w:pPr>
            <w:r w:rsidRPr="00AB4026">
              <w:rPr>
                <w:b/>
              </w:rPr>
              <w:t>Dataset exploration assignments</w:t>
            </w:r>
          </w:p>
          <w:p w14:paraId="6201376B" w14:textId="77777777" w:rsidR="00B17C7B" w:rsidRPr="00B17C7B" w:rsidRDefault="00B17C7B" w:rsidP="00B17C7B">
            <w:pPr>
              <w:keepNext/>
              <w:ind w:left="450"/>
              <w:rPr>
                <w:i/>
              </w:rPr>
            </w:pPr>
            <w:r w:rsidRPr="00B17C7B">
              <w:rPr>
                <w:i/>
              </w:rPr>
              <w:t>Food module</w:t>
            </w:r>
          </w:p>
          <w:p w14:paraId="2014BD0A" w14:textId="77777777" w:rsidR="00B17C7B" w:rsidRPr="00B17C7B" w:rsidRDefault="00B17C7B" w:rsidP="00B17C7B">
            <w:pPr>
              <w:keepNext/>
              <w:ind w:left="450"/>
              <w:rPr>
                <w:i/>
              </w:rPr>
            </w:pPr>
            <w:r w:rsidRPr="00B17C7B">
              <w:rPr>
                <w:i/>
              </w:rPr>
              <w:t>Energy module</w:t>
            </w:r>
          </w:p>
          <w:p w14:paraId="261B9C4D" w14:textId="12A1D60A" w:rsidR="00B17C7B" w:rsidRPr="00AB4026" w:rsidRDefault="00B17C7B" w:rsidP="00B17C7B">
            <w:pPr>
              <w:keepNext/>
              <w:ind w:left="450"/>
              <w:rPr>
                <w:b/>
              </w:rPr>
            </w:pPr>
            <w:r w:rsidRPr="00B17C7B">
              <w:rPr>
                <w:i/>
              </w:rPr>
              <w:t>Water module</w:t>
            </w:r>
          </w:p>
        </w:tc>
        <w:tc>
          <w:tcPr>
            <w:tcW w:w="1698" w:type="dxa"/>
          </w:tcPr>
          <w:p w14:paraId="659CEFFC" w14:textId="77777777" w:rsidR="00AB4026" w:rsidRDefault="00AB4026" w:rsidP="00E15430">
            <w:pPr>
              <w:keepNext/>
              <w:rPr>
                <w:b/>
              </w:rPr>
            </w:pPr>
            <w:r w:rsidRPr="00AB4026">
              <w:rPr>
                <w:b/>
              </w:rPr>
              <w:t>1</w:t>
            </w:r>
            <w:r w:rsidR="00E15430">
              <w:rPr>
                <w:b/>
              </w:rPr>
              <w:t>5</w:t>
            </w:r>
            <w:r w:rsidRPr="00AB4026">
              <w:rPr>
                <w:b/>
              </w:rPr>
              <w:t>%</w:t>
            </w:r>
          </w:p>
          <w:p w14:paraId="75D3537F" w14:textId="77777777" w:rsidR="00B17C7B" w:rsidRDefault="00B17C7B" w:rsidP="00B17C7B">
            <w:pPr>
              <w:keepNext/>
              <w:jc w:val="center"/>
            </w:pPr>
            <w:r w:rsidRPr="00B17C7B">
              <w:t>(5%)</w:t>
            </w:r>
          </w:p>
          <w:p w14:paraId="6FC4B033" w14:textId="77777777" w:rsidR="00B17C7B" w:rsidRDefault="00B17C7B" w:rsidP="00B17C7B">
            <w:pPr>
              <w:keepNext/>
              <w:jc w:val="center"/>
            </w:pPr>
            <w:r w:rsidRPr="00B17C7B">
              <w:t>(5%)</w:t>
            </w:r>
          </w:p>
          <w:p w14:paraId="0C47EAE0" w14:textId="4598C722" w:rsidR="00B17C7B" w:rsidRPr="00B17C7B" w:rsidRDefault="00B17C7B" w:rsidP="00B17C7B">
            <w:pPr>
              <w:keepNext/>
              <w:jc w:val="center"/>
            </w:pPr>
            <w:r w:rsidRPr="00B17C7B">
              <w:t>(5%)</w:t>
            </w:r>
          </w:p>
        </w:tc>
      </w:tr>
      <w:tr w:rsidR="00B40FE0" w:rsidRPr="002566B9" w14:paraId="59ADC7C7" w14:textId="77777777">
        <w:trPr>
          <w:cantSplit/>
        </w:trPr>
        <w:tc>
          <w:tcPr>
            <w:tcW w:w="4518" w:type="dxa"/>
          </w:tcPr>
          <w:p w14:paraId="6EEF0A41" w14:textId="1D22811D" w:rsidR="00B40FE0" w:rsidRPr="002566B9" w:rsidRDefault="00E15430" w:rsidP="00004757">
            <w:pPr>
              <w:keepNext/>
              <w:rPr>
                <w:b/>
              </w:rPr>
            </w:pPr>
            <w:r>
              <w:rPr>
                <w:b/>
              </w:rPr>
              <w:t>Civic Engagement Reflection</w:t>
            </w:r>
          </w:p>
        </w:tc>
        <w:tc>
          <w:tcPr>
            <w:tcW w:w="1698" w:type="dxa"/>
          </w:tcPr>
          <w:p w14:paraId="63694CA2" w14:textId="42033791" w:rsidR="00B40FE0" w:rsidRPr="002566B9" w:rsidRDefault="00E15430" w:rsidP="00B17C7B">
            <w:pPr>
              <w:keepNext/>
              <w:rPr>
                <w:b/>
              </w:rPr>
            </w:pPr>
            <w:r>
              <w:rPr>
                <w:b/>
              </w:rPr>
              <w:t>1</w:t>
            </w:r>
            <w:r w:rsidR="00B17C7B">
              <w:rPr>
                <w:b/>
              </w:rPr>
              <w:t>5</w:t>
            </w:r>
            <w:r w:rsidR="00B40FE0" w:rsidRPr="002566B9">
              <w:rPr>
                <w:b/>
              </w:rPr>
              <w:t>%</w:t>
            </w:r>
          </w:p>
        </w:tc>
      </w:tr>
      <w:tr w:rsidR="00B40FE0" w:rsidRPr="002566B9" w14:paraId="0BFD9125" w14:textId="77777777">
        <w:trPr>
          <w:cantSplit/>
        </w:trPr>
        <w:tc>
          <w:tcPr>
            <w:tcW w:w="4518" w:type="dxa"/>
          </w:tcPr>
          <w:p w14:paraId="7AD610D4" w14:textId="4F3CB4A3" w:rsidR="00B40FE0" w:rsidRPr="002566B9" w:rsidRDefault="00E15430" w:rsidP="00004757">
            <w:pPr>
              <w:keepNext/>
              <w:rPr>
                <w:b/>
              </w:rPr>
            </w:pPr>
            <w:r w:rsidRPr="00E15430">
              <w:rPr>
                <w:b/>
              </w:rPr>
              <w:t>Sustainability Case Study</w:t>
            </w:r>
            <w:r>
              <w:rPr>
                <w:b/>
              </w:rPr>
              <w:t xml:space="preserve"> Analysis</w:t>
            </w:r>
          </w:p>
        </w:tc>
        <w:tc>
          <w:tcPr>
            <w:tcW w:w="1698" w:type="dxa"/>
          </w:tcPr>
          <w:p w14:paraId="015098AB" w14:textId="2D71D1EB" w:rsidR="00B40FE0" w:rsidRPr="002566B9" w:rsidRDefault="00B17C7B" w:rsidP="00004757">
            <w:pPr>
              <w:keepNext/>
              <w:rPr>
                <w:b/>
              </w:rPr>
            </w:pPr>
            <w:r>
              <w:rPr>
                <w:b/>
              </w:rPr>
              <w:t>40</w:t>
            </w:r>
            <w:r w:rsidR="00B40FE0" w:rsidRPr="002566B9">
              <w:rPr>
                <w:b/>
              </w:rPr>
              <w:t>%</w:t>
            </w:r>
          </w:p>
        </w:tc>
      </w:tr>
      <w:tr w:rsidR="00B40FE0" w:rsidRPr="00585689" w14:paraId="5813E8BE" w14:textId="77777777">
        <w:trPr>
          <w:cantSplit/>
        </w:trPr>
        <w:tc>
          <w:tcPr>
            <w:tcW w:w="4518" w:type="dxa"/>
          </w:tcPr>
          <w:p w14:paraId="19B5F4B0" w14:textId="2134FB34" w:rsidR="00B40FE0" w:rsidRPr="00585689" w:rsidRDefault="00E15430" w:rsidP="00E15430">
            <w:pPr>
              <w:ind w:left="432"/>
              <w:rPr>
                <w:i/>
              </w:rPr>
            </w:pPr>
            <w:r>
              <w:rPr>
                <w:i/>
              </w:rPr>
              <w:t>P</w:t>
            </w:r>
            <w:r w:rsidR="00B40FE0" w:rsidRPr="00585689">
              <w:rPr>
                <w:i/>
              </w:rPr>
              <w:t xml:space="preserve">art 1: </w:t>
            </w:r>
            <w:r>
              <w:rPr>
                <w:i/>
              </w:rPr>
              <w:t xml:space="preserve">background </w:t>
            </w:r>
            <w:r w:rsidR="00B40FE0" w:rsidRPr="00585689">
              <w:rPr>
                <w:i/>
              </w:rPr>
              <w:t xml:space="preserve">research </w:t>
            </w:r>
            <w:r w:rsidR="001C1BAB">
              <w:rPr>
                <w:i/>
              </w:rPr>
              <w:t>report</w:t>
            </w:r>
          </w:p>
        </w:tc>
        <w:tc>
          <w:tcPr>
            <w:tcW w:w="1698" w:type="dxa"/>
          </w:tcPr>
          <w:p w14:paraId="7478C469" w14:textId="1EB6F5F1" w:rsidR="00B40FE0" w:rsidRPr="00585689" w:rsidRDefault="00AB4026" w:rsidP="000306BB">
            <w:pPr>
              <w:ind w:left="432"/>
              <w:rPr>
                <w:i/>
              </w:rPr>
            </w:pPr>
            <w:r>
              <w:rPr>
                <w:i/>
              </w:rPr>
              <w:t>(1</w:t>
            </w:r>
            <w:r w:rsidR="000306BB">
              <w:rPr>
                <w:i/>
              </w:rPr>
              <w:t>5</w:t>
            </w:r>
            <w:r w:rsidR="00B40FE0" w:rsidRPr="00585689">
              <w:rPr>
                <w:i/>
              </w:rPr>
              <w:t>%)</w:t>
            </w:r>
          </w:p>
        </w:tc>
      </w:tr>
      <w:tr w:rsidR="00B40FE0" w:rsidRPr="00585689" w14:paraId="1AC3C2B7" w14:textId="77777777">
        <w:trPr>
          <w:cantSplit/>
        </w:trPr>
        <w:tc>
          <w:tcPr>
            <w:tcW w:w="4518" w:type="dxa"/>
          </w:tcPr>
          <w:p w14:paraId="3ED01A82" w14:textId="2B95CDF1" w:rsidR="00B40FE0" w:rsidRPr="00585689" w:rsidRDefault="00E15430" w:rsidP="00E15430">
            <w:pPr>
              <w:ind w:left="432"/>
              <w:rPr>
                <w:i/>
              </w:rPr>
            </w:pPr>
            <w:r>
              <w:rPr>
                <w:i/>
              </w:rPr>
              <w:t>P</w:t>
            </w:r>
            <w:r w:rsidR="000306BB">
              <w:rPr>
                <w:i/>
              </w:rPr>
              <w:t>art 2</w:t>
            </w:r>
            <w:r w:rsidR="00004757">
              <w:rPr>
                <w:i/>
              </w:rPr>
              <w:t xml:space="preserve">: </w:t>
            </w:r>
            <w:r>
              <w:rPr>
                <w:i/>
              </w:rPr>
              <w:t>op-ed first draft</w:t>
            </w:r>
          </w:p>
        </w:tc>
        <w:tc>
          <w:tcPr>
            <w:tcW w:w="1698" w:type="dxa"/>
          </w:tcPr>
          <w:p w14:paraId="5095B814" w14:textId="71A83B7D" w:rsidR="00B40FE0" w:rsidRPr="00585689" w:rsidRDefault="00B17C7B" w:rsidP="00585689">
            <w:pPr>
              <w:ind w:left="432"/>
              <w:rPr>
                <w:i/>
              </w:rPr>
            </w:pPr>
            <w:r>
              <w:rPr>
                <w:i/>
              </w:rPr>
              <w:t>(</w:t>
            </w:r>
            <w:r w:rsidR="000306BB">
              <w:rPr>
                <w:i/>
              </w:rPr>
              <w:t>10</w:t>
            </w:r>
            <w:r w:rsidR="00556077">
              <w:rPr>
                <w:i/>
              </w:rPr>
              <w:t>%)</w:t>
            </w:r>
          </w:p>
        </w:tc>
      </w:tr>
      <w:tr w:rsidR="00556077" w:rsidRPr="00585689" w14:paraId="7B70B3C7" w14:textId="77777777">
        <w:trPr>
          <w:cantSplit/>
        </w:trPr>
        <w:tc>
          <w:tcPr>
            <w:tcW w:w="4518" w:type="dxa"/>
          </w:tcPr>
          <w:p w14:paraId="5D02D5B6" w14:textId="4AF7C834" w:rsidR="00556077" w:rsidRDefault="000306BB" w:rsidP="00E15430">
            <w:pPr>
              <w:ind w:left="432"/>
              <w:rPr>
                <w:i/>
              </w:rPr>
            </w:pPr>
            <w:r>
              <w:rPr>
                <w:i/>
              </w:rPr>
              <w:t>Part 3</w:t>
            </w:r>
            <w:r w:rsidR="00556077">
              <w:rPr>
                <w:i/>
              </w:rPr>
              <w:t xml:space="preserve">: op-ed final </w:t>
            </w:r>
          </w:p>
        </w:tc>
        <w:tc>
          <w:tcPr>
            <w:tcW w:w="1698" w:type="dxa"/>
          </w:tcPr>
          <w:p w14:paraId="50CD9F9A" w14:textId="4719DF83" w:rsidR="00556077" w:rsidRPr="00585689" w:rsidRDefault="00556077" w:rsidP="00585689">
            <w:pPr>
              <w:ind w:left="432"/>
              <w:rPr>
                <w:i/>
              </w:rPr>
            </w:pPr>
            <w:r>
              <w:rPr>
                <w:i/>
              </w:rPr>
              <w:t>(15%)</w:t>
            </w:r>
          </w:p>
        </w:tc>
      </w:tr>
    </w:tbl>
    <w:p w14:paraId="0FDD2F3B" w14:textId="77777777" w:rsidR="00A124D2" w:rsidRDefault="00A124D2" w:rsidP="00C653AE">
      <w:pPr>
        <w:rPr>
          <w:b/>
        </w:rPr>
      </w:pPr>
    </w:p>
    <w:p w14:paraId="3D7CE384" w14:textId="77777777" w:rsidR="00BB00F3" w:rsidRPr="00BB00F3" w:rsidRDefault="00BB00F3" w:rsidP="00027349">
      <w:pPr>
        <w:pStyle w:val="Heading2"/>
      </w:pPr>
      <w:r w:rsidRPr="00BB00F3">
        <w:t>Section Participation</w:t>
      </w:r>
    </w:p>
    <w:p w14:paraId="3803BE61" w14:textId="58874F63" w:rsidR="00C653AE" w:rsidRPr="00C653AE" w:rsidRDefault="00C653AE" w:rsidP="00C653AE">
      <w:r w:rsidRPr="00C653AE">
        <w:rPr>
          <w:i/>
        </w:rPr>
        <w:t>Thinking Matters</w:t>
      </w:r>
      <w:r w:rsidRPr="00C653AE">
        <w:t xml:space="preserve"> courses encourage vigorous intellectual exchange, the expression of various viewpoints, and the ability to speak effectively and cogently.  Participation includes but is not limited to in-class discussion. As part of the participation grade, the lecturer may assign activities and written assignments such as individual or group presentations, on-line forum entries, </w:t>
      </w:r>
      <w:r w:rsidR="00125E76">
        <w:t xml:space="preserve">current event presentations, </w:t>
      </w:r>
      <w:r w:rsidRPr="00C653AE">
        <w:t xml:space="preserve">lecture summaries, problem sets, debates, etc. </w:t>
      </w:r>
    </w:p>
    <w:p w14:paraId="02AB68C8" w14:textId="77777777" w:rsidR="00C653AE" w:rsidRPr="00C653AE" w:rsidRDefault="00C653AE" w:rsidP="00C653AE"/>
    <w:p w14:paraId="04DF7675" w14:textId="77777777" w:rsidR="00C653AE" w:rsidRPr="00C653AE" w:rsidRDefault="00C653AE" w:rsidP="00C653AE">
      <w:r w:rsidRPr="00C653AE">
        <w:t xml:space="preserve">Participation will be evaluated on the following guidelines, which stress the quality rather than the quantity of contributions. </w:t>
      </w:r>
    </w:p>
    <w:p w14:paraId="0BD02A05" w14:textId="77777777" w:rsidR="00C653AE" w:rsidRPr="00C653AE" w:rsidRDefault="00C653AE" w:rsidP="00C653AE">
      <w:pPr>
        <w:rPr>
          <w:b/>
        </w:rPr>
      </w:pPr>
    </w:p>
    <w:p w14:paraId="4BE8BF2C" w14:textId="77777777" w:rsidR="00C653AE" w:rsidRPr="00C653AE" w:rsidRDefault="00C653AE" w:rsidP="00C653AE">
      <w:r w:rsidRPr="00C653AE">
        <w:rPr>
          <w:b/>
        </w:rPr>
        <w:t>A range:</w:t>
      </w:r>
      <w:r w:rsidRPr="00C653AE">
        <w:t xml:space="preserve"> The student is fully engaged and highly motivated. This student is well prepared, having studied the assigned material, and having thought carefully about the materials’ relation to issues raised in lecture and section. This student's ideas and questions are substantive (either constructive or critical); they stimulate class discussions. This student listens and responds respectfully to the contributions of other students. </w:t>
      </w:r>
    </w:p>
    <w:p w14:paraId="3AFAE2DD" w14:textId="77777777" w:rsidR="00C653AE" w:rsidRPr="00C653AE" w:rsidRDefault="00C653AE" w:rsidP="00C653AE"/>
    <w:p w14:paraId="45DE101A" w14:textId="77777777" w:rsidR="00C653AE" w:rsidRPr="00C653AE" w:rsidRDefault="00C653AE" w:rsidP="00C653AE">
      <w:r w:rsidRPr="00C653AE">
        <w:rPr>
          <w:b/>
        </w:rPr>
        <w:t>B range:</w:t>
      </w:r>
      <w:r w:rsidRPr="00C653AE">
        <w:t xml:space="preserve"> The student participates consistently in discussion. This student comes to section well-prepared and contributes regularly by sharing thoughts and questions that show insight and a familiarity with the material. This student refers to the materials discussed in lecture and shows interest in other students' contributions. </w:t>
      </w:r>
    </w:p>
    <w:p w14:paraId="731C8AC9" w14:textId="77777777" w:rsidR="00C653AE" w:rsidRPr="00C653AE" w:rsidRDefault="00C653AE" w:rsidP="00C653AE"/>
    <w:p w14:paraId="29053CF4" w14:textId="77777777" w:rsidR="00C653AE" w:rsidRPr="00C653AE" w:rsidRDefault="00C653AE" w:rsidP="00C653AE">
      <w:r w:rsidRPr="00C653AE">
        <w:rPr>
          <w:b/>
        </w:rPr>
        <w:lastRenderedPageBreak/>
        <w:t>C range:</w:t>
      </w:r>
      <w:r w:rsidRPr="00C653AE">
        <w:t xml:space="preserve"> The student meets the basic requirements of section participation. This student is usually prepared and participates once in a while but not regularly. This student’s contributions relate to the texts and the lectures and offer a few insightful ideas but do not help to build a coherent and productive discussion. </w:t>
      </w:r>
    </w:p>
    <w:p w14:paraId="490020E6" w14:textId="77777777" w:rsidR="00C653AE" w:rsidRPr="00C653AE" w:rsidRDefault="00C653AE" w:rsidP="00C653AE"/>
    <w:p w14:paraId="24FB039A" w14:textId="77777777" w:rsidR="00C653AE" w:rsidRPr="00C653AE" w:rsidRDefault="00C653AE" w:rsidP="00C653AE">
      <w:r w:rsidRPr="00C653AE">
        <w:t>Failure to fulfill satisfactorily the criteria for participation will result in a grade of "D" or below.</w:t>
      </w:r>
    </w:p>
    <w:p w14:paraId="34914AAA" w14:textId="77777777" w:rsidR="00BB00F3" w:rsidRPr="00C653AE" w:rsidRDefault="00BB00F3" w:rsidP="00C653AE"/>
    <w:p w14:paraId="396D8E39" w14:textId="77777777" w:rsidR="008B4FF3" w:rsidRPr="008B3393" w:rsidRDefault="008B4FF3" w:rsidP="00027349">
      <w:pPr>
        <w:pStyle w:val="Heading1"/>
      </w:pPr>
      <w:r w:rsidRPr="008B3393">
        <w:t xml:space="preserve">Course Policies </w:t>
      </w:r>
    </w:p>
    <w:p w14:paraId="3EDAAF3C" w14:textId="3E6012AF" w:rsidR="00C82CDF" w:rsidRPr="001E6357" w:rsidRDefault="003C3448" w:rsidP="00C82CDF">
      <w:pPr>
        <w:keepNext/>
        <w:rPr>
          <w:b/>
          <w:bCs/>
        </w:rPr>
      </w:pPr>
      <w:r w:rsidRPr="003C3448">
        <w:rPr>
          <w:b/>
          <w:bCs/>
          <w:i/>
        </w:rPr>
        <w:t>Thinking Matters</w:t>
      </w:r>
      <w:r>
        <w:rPr>
          <w:b/>
          <w:bCs/>
        </w:rPr>
        <w:t xml:space="preserve"> </w:t>
      </w:r>
      <w:r w:rsidR="00C82CDF" w:rsidRPr="001E6357">
        <w:rPr>
          <w:b/>
          <w:bCs/>
        </w:rPr>
        <w:t xml:space="preserve">Attendance </w:t>
      </w:r>
      <w:r>
        <w:rPr>
          <w:b/>
          <w:bCs/>
        </w:rPr>
        <w:t>Policy</w:t>
      </w:r>
    </w:p>
    <w:p w14:paraId="0F772EC9" w14:textId="513E1E6E" w:rsidR="00C82CDF" w:rsidRPr="001E6357" w:rsidRDefault="00C82CDF" w:rsidP="00C82CDF">
      <w:r w:rsidRPr="00C82CDF">
        <w:t xml:space="preserve">Attendance at lectures and sections is mandatory. </w:t>
      </w:r>
      <w:r w:rsidRPr="001E6357">
        <w:t xml:space="preserve">If a student has a prolonged illness, varsity athletic competitions, or a personal situation that might lead to more than two section absences, the student should contact his or her </w:t>
      </w:r>
      <w:r>
        <w:t>Teach</w:t>
      </w:r>
      <w:r w:rsidR="00E0265C">
        <w:t>i</w:t>
      </w:r>
      <w:r>
        <w:t>ng</w:t>
      </w:r>
      <w:r w:rsidRPr="001E6357">
        <w:t xml:space="preserve"> Fellow </w:t>
      </w:r>
      <w:r w:rsidRPr="001E6357">
        <w:rPr>
          <w:u w:val="single"/>
        </w:rPr>
        <w:t>before</w:t>
      </w:r>
      <w:r w:rsidRPr="001E6357">
        <w:t xml:space="preserve"> missing section. Under certain conditions (such as varsity athletic competitions or prolonged illness), a student may be provided an opportunity to make up the work missed in section. In other words, make-up work is at the discretion of the instructor.  Note: insufficient section attendance will result in failure of the course.  </w:t>
      </w:r>
    </w:p>
    <w:p w14:paraId="6A4A868B" w14:textId="77777777" w:rsidR="00C82CDF" w:rsidRPr="001E6357" w:rsidRDefault="00C82CDF" w:rsidP="00C82CDF"/>
    <w:p w14:paraId="5A0952F8" w14:textId="7AC57B9C" w:rsidR="00C82CDF" w:rsidRDefault="008B4FF3" w:rsidP="008B4FF3">
      <w:r w:rsidRPr="001E6357">
        <w:rPr>
          <w:b/>
        </w:rPr>
        <w:t>Assignments</w:t>
      </w:r>
      <w:r w:rsidR="00027349">
        <w:rPr>
          <w:b/>
        </w:rPr>
        <w:t xml:space="preserve"> </w:t>
      </w:r>
    </w:p>
    <w:p w14:paraId="08352E92" w14:textId="0D77CDA0" w:rsidR="008B4FF3" w:rsidRPr="00C82CDF" w:rsidRDefault="008B4FF3" w:rsidP="00C82CDF">
      <w:r w:rsidRPr="001E6357">
        <w:t>Failure to complete any one graded assignment will result in a failing grade for the quarter.</w:t>
      </w:r>
      <w:r w:rsidR="00C82CDF">
        <w:t xml:space="preserve"> </w:t>
      </w:r>
      <w:r>
        <w:t>Late assignments will be penalized by ½ grade per day</w:t>
      </w:r>
      <w:r w:rsidR="00C82CDF">
        <w:t>.</w:t>
      </w:r>
    </w:p>
    <w:p w14:paraId="7B48565A" w14:textId="77777777" w:rsidR="008B4FF3" w:rsidRDefault="008B4FF3" w:rsidP="008B4FF3">
      <w:pPr>
        <w:rPr>
          <w:b/>
        </w:rPr>
      </w:pPr>
    </w:p>
    <w:p w14:paraId="2125A732" w14:textId="77777777" w:rsidR="008B4FF3" w:rsidRDefault="008B4FF3" w:rsidP="00027349">
      <w:pPr>
        <w:keepNext/>
        <w:rPr>
          <w:b/>
        </w:rPr>
      </w:pPr>
      <w:r w:rsidRPr="00C653AE">
        <w:rPr>
          <w:b/>
        </w:rPr>
        <w:t xml:space="preserve">The Honor Code </w:t>
      </w:r>
    </w:p>
    <w:p w14:paraId="3C8BDD3D" w14:textId="77777777" w:rsidR="008B4FF3" w:rsidRPr="00C653AE" w:rsidRDefault="008B4FF3" w:rsidP="008B4FF3">
      <w:r w:rsidRPr="00C653AE">
        <w:t xml:space="preserve">Violating the Honor Code is a serious offense, even when the violation is unintentional. The Honor Code is available at: </w:t>
      </w:r>
      <w:hyperlink r:id="rId13" w:history="1">
        <w:r w:rsidRPr="00C653AE">
          <w:rPr>
            <w:rStyle w:val="Hyperlink"/>
          </w:rPr>
          <w:t>http://www.stanford.edu/dept/vpsa/judicialaffairs/guiding/honorcode.htm</w:t>
        </w:r>
      </w:hyperlink>
      <w:r w:rsidRPr="00C653AE">
        <w:t>. You are responsible for understanding the University rules regarding academic integrity; you should familiarize yourself with the code if you have not already done so. In brief, conduct prohibited by the Honor Code includes all forms of academic dishonesty, among them copying from another’s exam, unpermitted collaboration and representing as one’s own work the work of another. If you have any questions about these matters, see your post-doctoral fellow during office hours.</w:t>
      </w:r>
    </w:p>
    <w:p w14:paraId="5CB35037" w14:textId="77777777" w:rsidR="008B4FF3" w:rsidRDefault="008B4FF3" w:rsidP="00C653AE">
      <w:pPr>
        <w:rPr>
          <w:b/>
        </w:rPr>
      </w:pPr>
    </w:p>
    <w:p w14:paraId="66192CC3" w14:textId="77777777" w:rsidR="00C653AE" w:rsidRPr="00C653AE" w:rsidRDefault="00C653AE" w:rsidP="00C653AE">
      <w:pPr>
        <w:rPr>
          <w:b/>
        </w:rPr>
      </w:pPr>
      <w:r w:rsidRPr="00C653AE">
        <w:rPr>
          <w:b/>
        </w:rPr>
        <w:t>Provost’s Statement concerning Students with Disabilities</w:t>
      </w:r>
    </w:p>
    <w:p w14:paraId="7C59AD41" w14:textId="2F6151F1" w:rsidR="003A4FEA" w:rsidRDefault="00C653AE" w:rsidP="007E772B">
      <w:r w:rsidRPr="00C653AE">
        <w:t>Students who have a disability which may necessitate an academic accommodation or the use of auxiliary aids and services in a class must initiate the request with the Office of Accessible Education’s Disability Resource Center (DRC). The DRC will evaluate the request with required documentation, recommend appropriate accommodations, and prepare a verification letter dated in the current academic term in which the request is being made. Please contact the DRC as soon as possible; timely notice is needed to arrange for appropriate accommodations</w:t>
      </w:r>
      <w:r w:rsidR="007E772B">
        <w:t xml:space="preserve"> (phone 723-1066; TDD 725-1067)</w:t>
      </w:r>
    </w:p>
    <w:p w14:paraId="5694C7BE" w14:textId="77777777" w:rsidR="00C82CDF" w:rsidRDefault="00C82CDF" w:rsidP="007E772B"/>
    <w:p w14:paraId="31BA95FF" w14:textId="77777777" w:rsidR="00C82CDF" w:rsidRDefault="00C82CDF" w:rsidP="00605A11">
      <w:pPr>
        <w:keepNext/>
        <w:rPr>
          <w:b/>
        </w:rPr>
      </w:pPr>
      <w:r>
        <w:rPr>
          <w:b/>
        </w:rPr>
        <w:t>FERPA</w:t>
      </w:r>
    </w:p>
    <w:p w14:paraId="24BF9792" w14:textId="0DD42A56" w:rsidR="00C82CDF" w:rsidRPr="004852A9" w:rsidRDefault="00C82CDF" w:rsidP="007E772B">
      <w:pPr>
        <w:rPr>
          <w:b/>
        </w:rPr>
      </w:pPr>
      <w:r w:rsidRPr="00C82CDF">
        <w:t xml:space="preserve">The </w:t>
      </w:r>
      <w:r w:rsidRPr="001E6357">
        <w:t>Student Record Privacy Policy</w:t>
      </w:r>
      <w:r>
        <w:t xml:space="preserve"> may be found at </w:t>
      </w:r>
      <w:hyperlink r:id="rId14" w:history="1">
        <w:r w:rsidRPr="001E6357">
          <w:rPr>
            <w:rStyle w:val="Hyperlink"/>
          </w:rPr>
          <w:t>http://studentaffairs.stanford.edu/registrar/students/ferpa</w:t>
        </w:r>
      </w:hyperlink>
    </w:p>
    <w:sectPr w:rsidR="00C82CDF" w:rsidRPr="004852A9" w:rsidSect="007E772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42A1" w14:textId="77777777" w:rsidR="00BE2AD0" w:rsidRDefault="00BE2AD0" w:rsidP="006060BB">
      <w:r>
        <w:separator/>
      </w:r>
    </w:p>
  </w:endnote>
  <w:endnote w:type="continuationSeparator" w:id="0">
    <w:p w14:paraId="17C3E903" w14:textId="77777777" w:rsidR="00BE2AD0" w:rsidRDefault="00BE2AD0" w:rsidP="0060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66189"/>
      <w:docPartObj>
        <w:docPartGallery w:val="Page Numbers (Bottom of Page)"/>
        <w:docPartUnique/>
      </w:docPartObj>
    </w:sdtPr>
    <w:sdtEndPr>
      <w:rPr>
        <w:noProof/>
      </w:rPr>
    </w:sdtEndPr>
    <w:sdtContent>
      <w:p w14:paraId="1F08924E" w14:textId="3540DF12" w:rsidR="00AC5D34" w:rsidRDefault="00AC5D34">
        <w:pPr>
          <w:pStyle w:val="Footer"/>
          <w:jc w:val="center"/>
        </w:pPr>
        <w:r>
          <w:fldChar w:fldCharType="begin"/>
        </w:r>
        <w:r>
          <w:instrText xml:space="preserve"> PAGE   \* MERGEFORMAT </w:instrText>
        </w:r>
        <w:r>
          <w:fldChar w:fldCharType="separate"/>
        </w:r>
        <w:r w:rsidR="00032813">
          <w:rPr>
            <w:noProof/>
          </w:rPr>
          <w:t>1</w:t>
        </w:r>
        <w:r>
          <w:rPr>
            <w:noProof/>
          </w:rPr>
          <w:fldChar w:fldCharType="end"/>
        </w:r>
      </w:p>
    </w:sdtContent>
  </w:sdt>
  <w:p w14:paraId="3527BC67" w14:textId="77777777" w:rsidR="00AC5D34" w:rsidRDefault="00AC5D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E710" w14:textId="77777777" w:rsidR="00BE2AD0" w:rsidRDefault="00BE2AD0" w:rsidP="006060BB">
      <w:r>
        <w:separator/>
      </w:r>
    </w:p>
  </w:footnote>
  <w:footnote w:type="continuationSeparator" w:id="0">
    <w:p w14:paraId="30C1C870" w14:textId="77777777" w:rsidR="00BE2AD0" w:rsidRDefault="00BE2AD0" w:rsidP="006060BB">
      <w:r>
        <w:continuationSeparator/>
      </w:r>
    </w:p>
  </w:footnote>
  <w:footnote w:id="1">
    <w:p w14:paraId="2F208CC7" w14:textId="73CD63A4" w:rsidR="00EB1494" w:rsidRDefault="00EB1494">
      <w:pPr>
        <w:pStyle w:val="FootnoteText"/>
      </w:pPr>
      <w:r>
        <w:rPr>
          <w:rStyle w:val="FootnoteReference"/>
        </w:rPr>
        <w:footnoteRef/>
      </w:r>
      <w:r>
        <w:t xml:space="preserve"> </w:t>
      </w:r>
      <w:hyperlink r:id="rId1" w:history="1">
        <w:r w:rsidRPr="00524FC6">
          <w:rPr>
            <w:rStyle w:val="Hyperlink"/>
          </w:rPr>
          <w:t>http://canvas.stanford.edu/</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534D" w14:textId="0D3F5383" w:rsidR="00AC5D34" w:rsidRPr="003A2B4B" w:rsidRDefault="00AC5D34" w:rsidP="003A2B4B">
    <w:pPr>
      <w:pStyle w:val="Header"/>
      <w:jc w:val="right"/>
      <w:rPr>
        <w:i/>
        <w:sz w:val="22"/>
      </w:rPr>
    </w:pPr>
    <w:r w:rsidRPr="003A2B4B">
      <w:rPr>
        <w:i/>
        <w:sz w:val="22"/>
      </w:rPr>
      <w:t>Version</w:t>
    </w:r>
    <w:r>
      <w:rPr>
        <w:i/>
        <w:sz w:val="22"/>
      </w:rPr>
      <w:t>:</w:t>
    </w:r>
    <w:r w:rsidRPr="003A2B4B">
      <w:rPr>
        <w:i/>
        <w:sz w:val="22"/>
      </w:rPr>
      <w:t xml:space="preserve"> </w:t>
    </w:r>
    <w:r w:rsidR="00B163EF">
      <w:rPr>
        <w:i/>
        <w:sz w:val="22"/>
      </w:rPr>
      <w:t xml:space="preserve">Jan. </w:t>
    </w:r>
    <w:r w:rsidR="004E50E3">
      <w:rPr>
        <w:i/>
        <w:sz w:val="22"/>
      </w:rPr>
      <w:t>7</w:t>
    </w:r>
    <w:r w:rsidR="00B163EF">
      <w:rPr>
        <w:i/>
        <w:sz w:val="22"/>
      </w:rPr>
      <w:t>, 2106</w:t>
    </w:r>
  </w:p>
  <w:p w14:paraId="4118577E" w14:textId="77777777" w:rsidR="00AC5D34" w:rsidRDefault="00AC5D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C6E"/>
    <w:multiLevelType w:val="multilevel"/>
    <w:tmpl w:val="3D985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921E33"/>
    <w:multiLevelType w:val="hybridMultilevel"/>
    <w:tmpl w:val="601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D080D"/>
    <w:multiLevelType w:val="hybridMultilevel"/>
    <w:tmpl w:val="FB80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E7B14"/>
    <w:multiLevelType w:val="multilevel"/>
    <w:tmpl w:val="0FEAD5D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1700BE"/>
    <w:multiLevelType w:val="hybridMultilevel"/>
    <w:tmpl w:val="3470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B3FA7"/>
    <w:multiLevelType w:val="hybridMultilevel"/>
    <w:tmpl w:val="536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D33E6"/>
    <w:multiLevelType w:val="hybridMultilevel"/>
    <w:tmpl w:val="80A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27F27"/>
    <w:multiLevelType w:val="hybridMultilevel"/>
    <w:tmpl w:val="0FEAD5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A0A69"/>
    <w:multiLevelType w:val="hybridMultilevel"/>
    <w:tmpl w:val="BE98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A1C6B"/>
    <w:multiLevelType w:val="hybridMultilevel"/>
    <w:tmpl w:val="BA74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D567A"/>
    <w:multiLevelType w:val="hybridMultilevel"/>
    <w:tmpl w:val="B04CE422"/>
    <w:lvl w:ilvl="0" w:tplc="CFB04E74">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B61DF"/>
    <w:multiLevelType w:val="hybridMultilevel"/>
    <w:tmpl w:val="F0AA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C1256"/>
    <w:multiLevelType w:val="hybridMultilevel"/>
    <w:tmpl w:val="3D98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
  </w:num>
  <w:num w:numId="6">
    <w:abstractNumId w:val="9"/>
  </w:num>
  <w:num w:numId="7">
    <w:abstractNumId w:val="6"/>
  </w:num>
  <w:num w:numId="8">
    <w:abstractNumId w:val="4"/>
  </w:num>
  <w:num w:numId="9">
    <w:abstractNumId w:val="5"/>
  </w:num>
  <w:num w:numId="10">
    <w:abstractNumId w:val="12"/>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B4"/>
    <w:rsid w:val="00004757"/>
    <w:rsid w:val="000059AB"/>
    <w:rsid w:val="000076C4"/>
    <w:rsid w:val="00027349"/>
    <w:rsid w:val="000306BB"/>
    <w:rsid w:val="00032648"/>
    <w:rsid w:val="00032813"/>
    <w:rsid w:val="00032E88"/>
    <w:rsid w:val="0004163F"/>
    <w:rsid w:val="000443E1"/>
    <w:rsid w:val="00050765"/>
    <w:rsid w:val="00053EBD"/>
    <w:rsid w:val="00056A24"/>
    <w:rsid w:val="00056C27"/>
    <w:rsid w:val="00060D7E"/>
    <w:rsid w:val="000613C6"/>
    <w:rsid w:val="00066591"/>
    <w:rsid w:val="0007695D"/>
    <w:rsid w:val="00083039"/>
    <w:rsid w:val="00087C48"/>
    <w:rsid w:val="000A0790"/>
    <w:rsid w:val="000A4FF1"/>
    <w:rsid w:val="000B0A01"/>
    <w:rsid w:val="000B1892"/>
    <w:rsid w:val="000C0DC0"/>
    <w:rsid w:val="000C2B60"/>
    <w:rsid w:val="000F31BA"/>
    <w:rsid w:val="00100795"/>
    <w:rsid w:val="00103834"/>
    <w:rsid w:val="00106465"/>
    <w:rsid w:val="0011145A"/>
    <w:rsid w:val="00124AE0"/>
    <w:rsid w:val="001251F9"/>
    <w:rsid w:val="00125E76"/>
    <w:rsid w:val="00133260"/>
    <w:rsid w:val="00141EC7"/>
    <w:rsid w:val="00142B43"/>
    <w:rsid w:val="001466C1"/>
    <w:rsid w:val="00150297"/>
    <w:rsid w:val="001723A8"/>
    <w:rsid w:val="001744C4"/>
    <w:rsid w:val="00177378"/>
    <w:rsid w:val="001813EC"/>
    <w:rsid w:val="00192753"/>
    <w:rsid w:val="00195018"/>
    <w:rsid w:val="00196FCF"/>
    <w:rsid w:val="001A7A42"/>
    <w:rsid w:val="001C1BAB"/>
    <w:rsid w:val="001D2AF1"/>
    <w:rsid w:val="001E6357"/>
    <w:rsid w:val="00201C6F"/>
    <w:rsid w:val="00210FBC"/>
    <w:rsid w:val="00214E1C"/>
    <w:rsid w:val="00220064"/>
    <w:rsid w:val="0022083C"/>
    <w:rsid w:val="0023497B"/>
    <w:rsid w:val="0023579C"/>
    <w:rsid w:val="0023703A"/>
    <w:rsid w:val="002566B9"/>
    <w:rsid w:val="00260B0B"/>
    <w:rsid w:val="00262C95"/>
    <w:rsid w:val="0028075A"/>
    <w:rsid w:val="002813C5"/>
    <w:rsid w:val="00296D66"/>
    <w:rsid w:val="002A0B77"/>
    <w:rsid w:val="002A127A"/>
    <w:rsid w:val="002B5BB3"/>
    <w:rsid w:val="002B76D6"/>
    <w:rsid w:val="002C59A5"/>
    <w:rsid w:val="002D51EB"/>
    <w:rsid w:val="002E1755"/>
    <w:rsid w:val="002E5362"/>
    <w:rsid w:val="002F1602"/>
    <w:rsid w:val="00307474"/>
    <w:rsid w:val="003126E0"/>
    <w:rsid w:val="00316086"/>
    <w:rsid w:val="00323D6B"/>
    <w:rsid w:val="00323ECB"/>
    <w:rsid w:val="00326DB7"/>
    <w:rsid w:val="003418FC"/>
    <w:rsid w:val="00342B96"/>
    <w:rsid w:val="00375260"/>
    <w:rsid w:val="003764C3"/>
    <w:rsid w:val="00381FCD"/>
    <w:rsid w:val="00393058"/>
    <w:rsid w:val="003A2B4B"/>
    <w:rsid w:val="003A4FEA"/>
    <w:rsid w:val="003B0D9B"/>
    <w:rsid w:val="003B0EDE"/>
    <w:rsid w:val="003C0605"/>
    <w:rsid w:val="003C3448"/>
    <w:rsid w:val="003D2469"/>
    <w:rsid w:val="003E0D11"/>
    <w:rsid w:val="003F23A1"/>
    <w:rsid w:val="003F71B2"/>
    <w:rsid w:val="00401A46"/>
    <w:rsid w:val="0041415A"/>
    <w:rsid w:val="004153B2"/>
    <w:rsid w:val="00416163"/>
    <w:rsid w:val="0044672F"/>
    <w:rsid w:val="00452CA3"/>
    <w:rsid w:val="00461D75"/>
    <w:rsid w:val="004678D5"/>
    <w:rsid w:val="00467C6C"/>
    <w:rsid w:val="00477C15"/>
    <w:rsid w:val="004852A9"/>
    <w:rsid w:val="00496BBB"/>
    <w:rsid w:val="004A21EB"/>
    <w:rsid w:val="004C1DFC"/>
    <w:rsid w:val="004C4D91"/>
    <w:rsid w:val="004C7768"/>
    <w:rsid w:val="004D2BD3"/>
    <w:rsid w:val="004D5D68"/>
    <w:rsid w:val="004E37AD"/>
    <w:rsid w:val="004E50E3"/>
    <w:rsid w:val="004E73FC"/>
    <w:rsid w:val="004F79CB"/>
    <w:rsid w:val="0050156B"/>
    <w:rsid w:val="0050726C"/>
    <w:rsid w:val="005138E7"/>
    <w:rsid w:val="0052570F"/>
    <w:rsid w:val="005271E3"/>
    <w:rsid w:val="00532E5A"/>
    <w:rsid w:val="005346EC"/>
    <w:rsid w:val="00556077"/>
    <w:rsid w:val="005560C5"/>
    <w:rsid w:val="00563011"/>
    <w:rsid w:val="0057549A"/>
    <w:rsid w:val="00585689"/>
    <w:rsid w:val="005A43D8"/>
    <w:rsid w:val="005A534E"/>
    <w:rsid w:val="005A5FE6"/>
    <w:rsid w:val="005D702D"/>
    <w:rsid w:val="005F30FC"/>
    <w:rsid w:val="00602627"/>
    <w:rsid w:val="00603AAE"/>
    <w:rsid w:val="00605A11"/>
    <w:rsid w:val="006060BB"/>
    <w:rsid w:val="00607B93"/>
    <w:rsid w:val="0061653D"/>
    <w:rsid w:val="00617DFF"/>
    <w:rsid w:val="00625124"/>
    <w:rsid w:val="0063608E"/>
    <w:rsid w:val="00637AB5"/>
    <w:rsid w:val="0064212C"/>
    <w:rsid w:val="00653E03"/>
    <w:rsid w:val="00660D23"/>
    <w:rsid w:val="006A00DA"/>
    <w:rsid w:val="006B1754"/>
    <w:rsid w:val="006B3AAD"/>
    <w:rsid w:val="006C2A43"/>
    <w:rsid w:val="006E2F20"/>
    <w:rsid w:val="006F3311"/>
    <w:rsid w:val="006F3FF4"/>
    <w:rsid w:val="006F6903"/>
    <w:rsid w:val="00715CC4"/>
    <w:rsid w:val="00720DDF"/>
    <w:rsid w:val="007320F6"/>
    <w:rsid w:val="00734B7A"/>
    <w:rsid w:val="00737360"/>
    <w:rsid w:val="00742633"/>
    <w:rsid w:val="007471B4"/>
    <w:rsid w:val="00752CE0"/>
    <w:rsid w:val="00775CBA"/>
    <w:rsid w:val="00777434"/>
    <w:rsid w:val="007849AC"/>
    <w:rsid w:val="00795EB6"/>
    <w:rsid w:val="007A50C1"/>
    <w:rsid w:val="007A63A0"/>
    <w:rsid w:val="007E3114"/>
    <w:rsid w:val="007E54E7"/>
    <w:rsid w:val="007E5E2F"/>
    <w:rsid w:val="007E772B"/>
    <w:rsid w:val="007F3F71"/>
    <w:rsid w:val="008004BD"/>
    <w:rsid w:val="00822E3E"/>
    <w:rsid w:val="00827692"/>
    <w:rsid w:val="00831977"/>
    <w:rsid w:val="0083663D"/>
    <w:rsid w:val="00852848"/>
    <w:rsid w:val="008544FD"/>
    <w:rsid w:val="0086198D"/>
    <w:rsid w:val="008674C1"/>
    <w:rsid w:val="0087568C"/>
    <w:rsid w:val="008908A4"/>
    <w:rsid w:val="008966F8"/>
    <w:rsid w:val="008A593D"/>
    <w:rsid w:val="008A6A4F"/>
    <w:rsid w:val="008B3393"/>
    <w:rsid w:val="008B4FF3"/>
    <w:rsid w:val="008D16EB"/>
    <w:rsid w:val="008D52C9"/>
    <w:rsid w:val="008F7318"/>
    <w:rsid w:val="0090342E"/>
    <w:rsid w:val="00906234"/>
    <w:rsid w:val="00913210"/>
    <w:rsid w:val="00913D87"/>
    <w:rsid w:val="00923326"/>
    <w:rsid w:val="00931D99"/>
    <w:rsid w:val="00932D94"/>
    <w:rsid w:val="00943FCE"/>
    <w:rsid w:val="00950F49"/>
    <w:rsid w:val="00956855"/>
    <w:rsid w:val="00960B07"/>
    <w:rsid w:val="00964549"/>
    <w:rsid w:val="0096727E"/>
    <w:rsid w:val="00975A08"/>
    <w:rsid w:val="009817FC"/>
    <w:rsid w:val="00986396"/>
    <w:rsid w:val="00997308"/>
    <w:rsid w:val="009A2F61"/>
    <w:rsid w:val="009B64F5"/>
    <w:rsid w:val="009C296E"/>
    <w:rsid w:val="009D21A5"/>
    <w:rsid w:val="009D780A"/>
    <w:rsid w:val="009E3A27"/>
    <w:rsid w:val="009E7961"/>
    <w:rsid w:val="00A03A25"/>
    <w:rsid w:val="00A124D2"/>
    <w:rsid w:val="00A14335"/>
    <w:rsid w:val="00A24294"/>
    <w:rsid w:val="00A923A3"/>
    <w:rsid w:val="00A97C89"/>
    <w:rsid w:val="00AA38E8"/>
    <w:rsid w:val="00AA3FF3"/>
    <w:rsid w:val="00AA5A45"/>
    <w:rsid w:val="00AB39A3"/>
    <w:rsid w:val="00AB4026"/>
    <w:rsid w:val="00AC4545"/>
    <w:rsid w:val="00AC520C"/>
    <w:rsid w:val="00AC5D34"/>
    <w:rsid w:val="00AD099B"/>
    <w:rsid w:val="00AD538A"/>
    <w:rsid w:val="00AE5616"/>
    <w:rsid w:val="00AF3A6F"/>
    <w:rsid w:val="00AF4664"/>
    <w:rsid w:val="00B10D6A"/>
    <w:rsid w:val="00B14335"/>
    <w:rsid w:val="00B14D62"/>
    <w:rsid w:val="00B163EF"/>
    <w:rsid w:val="00B17C7B"/>
    <w:rsid w:val="00B21FF7"/>
    <w:rsid w:val="00B33374"/>
    <w:rsid w:val="00B40FE0"/>
    <w:rsid w:val="00B4701F"/>
    <w:rsid w:val="00B5185B"/>
    <w:rsid w:val="00B56B2E"/>
    <w:rsid w:val="00B66A2C"/>
    <w:rsid w:val="00B71E6C"/>
    <w:rsid w:val="00B72B4B"/>
    <w:rsid w:val="00B730DB"/>
    <w:rsid w:val="00B81553"/>
    <w:rsid w:val="00B857BD"/>
    <w:rsid w:val="00B9201D"/>
    <w:rsid w:val="00B951B4"/>
    <w:rsid w:val="00BA058C"/>
    <w:rsid w:val="00BA0E3E"/>
    <w:rsid w:val="00BB00F3"/>
    <w:rsid w:val="00BC099D"/>
    <w:rsid w:val="00BD13D9"/>
    <w:rsid w:val="00BD7F86"/>
    <w:rsid w:val="00BE2AD0"/>
    <w:rsid w:val="00BF383A"/>
    <w:rsid w:val="00BF501A"/>
    <w:rsid w:val="00C02C42"/>
    <w:rsid w:val="00C03EC0"/>
    <w:rsid w:val="00C114CB"/>
    <w:rsid w:val="00C154CA"/>
    <w:rsid w:val="00C25CDD"/>
    <w:rsid w:val="00C31AD7"/>
    <w:rsid w:val="00C36E60"/>
    <w:rsid w:val="00C53C04"/>
    <w:rsid w:val="00C54063"/>
    <w:rsid w:val="00C6082B"/>
    <w:rsid w:val="00C653AE"/>
    <w:rsid w:val="00C73147"/>
    <w:rsid w:val="00C82CDF"/>
    <w:rsid w:val="00C90944"/>
    <w:rsid w:val="00CA2963"/>
    <w:rsid w:val="00CA5E65"/>
    <w:rsid w:val="00CA61CC"/>
    <w:rsid w:val="00CB02A0"/>
    <w:rsid w:val="00CC71A3"/>
    <w:rsid w:val="00CF0130"/>
    <w:rsid w:val="00CF0518"/>
    <w:rsid w:val="00CF0B00"/>
    <w:rsid w:val="00CF13C9"/>
    <w:rsid w:val="00CF6F0A"/>
    <w:rsid w:val="00D02D36"/>
    <w:rsid w:val="00D0476B"/>
    <w:rsid w:val="00D06825"/>
    <w:rsid w:val="00D10CC9"/>
    <w:rsid w:val="00D329EB"/>
    <w:rsid w:val="00D35202"/>
    <w:rsid w:val="00D52B41"/>
    <w:rsid w:val="00D55A01"/>
    <w:rsid w:val="00D56D05"/>
    <w:rsid w:val="00D5752C"/>
    <w:rsid w:val="00D60F37"/>
    <w:rsid w:val="00D6686D"/>
    <w:rsid w:val="00D67950"/>
    <w:rsid w:val="00D763E4"/>
    <w:rsid w:val="00D80BB9"/>
    <w:rsid w:val="00D826DF"/>
    <w:rsid w:val="00D87A78"/>
    <w:rsid w:val="00D97A56"/>
    <w:rsid w:val="00DC0028"/>
    <w:rsid w:val="00DC1EF7"/>
    <w:rsid w:val="00DD171A"/>
    <w:rsid w:val="00DE4367"/>
    <w:rsid w:val="00DF3A13"/>
    <w:rsid w:val="00DF5929"/>
    <w:rsid w:val="00E01107"/>
    <w:rsid w:val="00E0265C"/>
    <w:rsid w:val="00E0681A"/>
    <w:rsid w:val="00E15430"/>
    <w:rsid w:val="00E21550"/>
    <w:rsid w:val="00E2400B"/>
    <w:rsid w:val="00E30EF3"/>
    <w:rsid w:val="00E37BB2"/>
    <w:rsid w:val="00E56685"/>
    <w:rsid w:val="00E578ED"/>
    <w:rsid w:val="00E65CD9"/>
    <w:rsid w:val="00E82B13"/>
    <w:rsid w:val="00E8304B"/>
    <w:rsid w:val="00E84E6A"/>
    <w:rsid w:val="00E904B1"/>
    <w:rsid w:val="00EB1494"/>
    <w:rsid w:val="00ED4133"/>
    <w:rsid w:val="00EE37BA"/>
    <w:rsid w:val="00F0420E"/>
    <w:rsid w:val="00F26189"/>
    <w:rsid w:val="00F3411B"/>
    <w:rsid w:val="00F3560B"/>
    <w:rsid w:val="00F3753C"/>
    <w:rsid w:val="00F56CAD"/>
    <w:rsid w:val="00F578B6"/>
    <w:rsid w:val="00F652FA"/>
    <w:rsid w:val="00F879DB"/>
    <w:rsid w:val="00F97D92"/>
    <w:rsid w:val="00FA1A74"/>
    <w:rsid w:val="00FA4C29"/>
    <w:rsid w:val="00FA66E8"/>
    <w:rsid w:val="00FA700A"/>
    <w:rsid w:val="00FB612E"/>
    <w:rsid w:val="00FC726F"/>
    <w:rsid w:val="00FF2C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446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7349"/>
    <w:pPr>
      <w:keepNext/>
      <w:keepLines/>
      <w:spacing w:after="240"/>
      <w:outlineLvl w:val="0"/>
    </w:pPr>
    <w:rPr>
      <w:rFonts w:ascii="Garamond" w:eastAsiaTheme="majorEastAsia" w:hAnsi="Garamond" w:cstheme="majorBidi"/>
      <w:b/>
      <w:bCs/>
      <w:smallCaps/>
      <w:color w:val="003399"/>
      <w:sz w:val="28"/>
      <w:szCs w:val="28"/>
    </w:rPr>
  </w:style>
  <w:style w:type="paragraph" w:styleId="Heading2">
    <w:name w:val="heading 2"/>
    <w:basedOn w:val="Normal"/>
    <w:next w:val="Normal"/>
    <w:link w:val="Heading2Char"/>
    <w:uiPriority w:val="9"/>
    <w:unhideWhenUsed/>
    <w:qFormat/>
    <w:rsid w:val="00027349"/>
    <w:pPr>
      <w:keepNext/>
      <w:keepLines/>
      <w:spacing w:after="12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4C4"/>
    <w:rPr>
      <w:rFonts w:ascii="Lucida Grande" w:hAnsi="Lucida Grande" w:cs="Lucida Grande"/>
      <w:sz w:val="18"/>
      <w:szCs w:val="18"/>
    </w:rPr>
  </w:style>
  <w:style w:type="paragraph" w:styleId="ListParagraph">
    <w:name w:val="List Paragraph"/>
    <w:basedOn w:val="Normal"/>
    <w:uiPriority w:val="34"/>
    <w:qFormat/>
    <w:rsid w:val="002F1602"/>
    <w:pPr>
      <w:ind w:left="720"/>
      <w:contextualSpacing/>
    </w:pPr>
  </w:style>
  <w:style w:type="table" w:styleId="TableGrid">
    <w:name w:val="Table Grid"/>
    <w:basedOn w:val="TableNormal"/>
    <w:uiPriority w:val="59"/>
    <w:rsid w:val="00513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60BB"/>
    <w:pPr>
      <w:tabs>
        <w:tab w:val="center" w:pos="4320"/>
        <w:tab w:val="right" w:pos="8640"/>
      </w:tabs>
    </w:pPr>
  </w:style>
  <w:style w:type="character" w:customStyle="1" w:styleId="HeaderChar">
    <w:name w:val="Header Char"/>
    <w:basedOn w:val="DefaultParagraphFont"/>
    <w:link w:val="Header"/>
    <w:uiPriority w:val="99"/>
    <w:rsid w:val="006060BB"/>
  </w:style>
  <w:style w:type="paragraph" w:styleId="Footer">
    <w:name w:val="footer"/>
    <w:basedOn w:val="Normal"/>
    <w:link w:val="FooterChar"/>
    <w:uiPriority w:val="99"/>
    <w:unhideWhenUsed/>
    <w:rsid w:val="006060BB"/>
    <w:pPr>
      <w:tabs>
        <w:tab w:val="center" w:pos="4320"/>
        <w:tab w:val="right" w:pos="8640"/>
      </w:tabs>
    </w:pPr>
  </w:style>
  <w:style w:type="character" w:customStyle="1" w:styleId="FooterChar">
    <w:name w:val="Footer Char"/>
    <w:basedOn w:val="DefaultParagraphFont"/>
    <w:link w:val="Footer"/>
    <w:uiPriority w:val="99"/>
    <w:rsid w:val="006060BB"/>
  </w:style>
  <w:style w:type="character" w:styleId="Hyperlink">
    <w:name w:val="Hyperlink"/>
    <w:basedOn w:val="DefaultParagraphFont"/>
    <w:unhideWhenUsed/>
    <w:rsid w:val="001E6357"/>
    <w:rPr>
      <w:color w:val="0000FF" w:themeColor="hyperlink"/>
      <w:u w:val="single"/>
    </w:rPr>
  </w:style>
  <w:style w:type="paragraph" w:styleId="Revision">
    <w:name w:val="Revision"/>
    <w:hidden/>
    <w:uiPriority w:val="99"/>
    <w:semiHidden/>
    <w:rsid w:val="009817FC"/>
  </w:style>
  <w:style w:type="character" w:styleId="CommentReference">
    <w:name w:val="annotation reference"/>
    <w:basedOn w:val="DefaultParagraphFont"/>
    <w:uiPriority w:val="99"/>
    <w:semiHidden/>
    <w:unhideWhenUsed/>
    <w:rsid w:val="00B730DB"/>
    <w:rPr>
      <w:sz w:val="18"/>
      <w:szCs w:val="18"/>
    </w:rPr>
  </w:style>
  <w:style w:type="paragraph" w:styleId="CommentText">
    <w:name w:val="annotation text"/>
    <w:basedOn w:val="Normal"/>
    <w:link w:val="CommentTextChar"/>
    <w:uiPriority w:val="99"/>
    <w:semiHidden/>
    <w:unhideWhenUsed/>
    <w:rsid w:val="00B730DB"/>
  </w:style>
  <w:style w:type="character" w:customStyle="1" w:styleId="CommentTextChar">
    <w:name w:val="Comment Text Char"/>
    <w:basedOn w:val="DefaultParagraphFont"/>
    <w:link w:val="CommentText"/>
    <w:uiPriority w:val="99"/>
    <w:semiHidden/>
    <w:rsid w:val="00B730DB"/>
  </w:style>
  <w:style w:type="paragraph" w:styleId="CommentSubject">
    <w:name w:val="annotation subject"/>
    <w:basedOn w:val="CommentText"/>
    <w:next w:val="CommentText"/>
    <w:link w:val="CommentSubjectChar"/>
    <w:uiPriority w:val="99"/>
    <w:semiHidden/>
    <w:unhideWhenUsed/>
    <w:rsid w:val="00B730DB"/>
    <w:rPr>
      <w:b/>
      <w:bCs/>
      <w:sz w:val="20"/>
      <w:szCs w:val="20"/>
    </w:rPr>
  </w:style>
  <w:style w:type="character" w:customStyle="1" w:styleId="CommentSubjectChar">
    <w:name w:val="Comment Subject Char"/>
    <w:basedOn w:val="CommentTextChar"/>
    <w:link w:val="CommentSubject"/>
    <w:uiPriority w:val="99"/>
    <w:semiHidden/>
    <w:rsid w:val="00B730DB"/>
    <w:rPr>
      <w:b/>
      <w:bCs/>
      <w:sz w:val="20"/>
      <w:szCs w:val="20"/>
    </w:rPr>
  </w:style>
  <w:style w:type="character" w:customStyle="1" w:styleId="Heading1Char">
    <w:name w:val="Heading 1 Char"/>
    <w:basedOn w:val="DefaultParagraphFont"/>
    <w:link w:val="Heading1"/>
    <w:uiPriority w:val="9"/>
    <w:rsid w:val="00027349"/>
    <w:rPr>
      <w:rFonts w:ascii="Garamond" w:eastAsiaTheme="majorEastAsia" w:hAnsi="Garamond" w:cstheme="majorBidi"/>
      <w:b/>
      <w:bCs/>
      <w:smallCaps/>
      <w:color w:val="003399"/>
      <w:sz w:val="28"/>
      <w:szCs w:val="28"/>
    </w:rPr>
  </w:style>
  <w:style w:type="character" w:customStyle="1" w:styleId="Heading2Char">
    <w:name w:val="Heading 2 Char"/>
    <w:basedOn w:val="DefaultParagraphFont"/>
    <w:link w:val="Heading2"/>
    <w:uiPriority w:val="9"/>
    <w:rsid w:val="00027349"/>
    <w:rPr>
      <w:rFonts w:eastAsiaTheme="majorEastAsia" w:cstheme="majorBidi"/>
      <w:b/>
      <w:bCs/>
      <w:color w:val="000000" w:themeColor="text1"/>
      <w:szCs w:val="26"/>
    </w:rPr>
  </w:style>
  <w:style w:type="paragraph" w:styleId="FootnoteText">
    <w:name w:val="footnote text"/>
    <w:basedOn w:val="Normal"/>
    <w:link w:val="FootnoteTextChar"/>
    <w:uiPriority w:val="99"/>
    <w:semiHidden/>
    <w:unhideWhenUsed/>
    <w:rsid w:val="00EB1494"/>
    <w:rPr>
      <w:sz w:val="20"/>
      <w:szCs w:val="20"/>
    </w:rPr>
  </w:style>
  <w:style w:type="character" w:customStyle="1" w:styleId="FootnoteTextChar">
    <w:name w:val="Footnote Text Char"/>
    <w:basedOn w:val="DefaultParagraphFont"/>
    <w:link w:val="FootnoteText"/>
    <w:uiPriority w:val="99"/>
    <w:semiHidden/>
    <w:rsid w:val="00EB1494"/>
    <w:rPr>
      <w:sz w:val="20"/>
      <w:szCs w:val="20"/>
    </w:rPr>
  </w:style>
  <w:style w:type="character" w:styleId="FootnoteReference">
    <w:name w:val="footnote reference"/>
    <w:basedOn w:val="DefaultParagraphFont"/>
    <w:uiPriority w:val="99"/>
    <w:semiHidden/>
    <w:unhideWhenUsed/>
    <w:rsid w:val="00EB1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548">
      <w:bodyDiv w:val="1"/>
      <w:marLeft w:val="0"/>
      <w:marRight w:val="0"/>
      <w:marTop w:val="0"/>
      <w:marBottom w:val="0"/>
      <w:divBdr>
        <w:top w:val="none" w:sz="0" w:space="0" w:color="auto"/>
        <w:left w:val="none" w:sz="0" w:space="0" w:color="auto"/>
        <w:bottom w:val="none" w:sz="0" w:space="0" w:color="auto"/>
        <w:right w:val="none" w:sz="0" w:space="0" w:color="auto"/>
      </w:divBdr>
      <w:divsChild>
        <w:div w:id="2002657252">
          <w:marLeft w:val="0"/>
          <w:marRight w:val="0"/>
          <w:marTop w:val="0"/>
          <w:marBottom w:val="0"/>
          <w:divBdr>
            <w:top w:val="none" w:sz="0" w:space="0" w:color="auto"/>
            <w:left w:val="none" w:sz="0" w:space="0" w:color="auto"/>
            <w:bottom w:val="none" w:sz="0" w:space="0" w:color="auto"/>
            <w:right w:val="none" w:sz="0" w:space="0" w:color="auto"/>
          </w:divBdr>
          <w:divsChild>
            <w:div w:id="20721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2970">
      <w:bodyDiv w:val="1"/>
      <w:marLeft w:val="0"/>
      <w:marRight w:val="0"/>
      <w:marTop w:val="0"/>
      <w:marBottom w:val="0"/>
      <w:divBdr>
        <w:top w:val="none" w:sz="0" w:space="0" w:color="auto"/>
        <w:left w:val="none" w:sz="0" w:space="0" w:color="auto"/>
        <w:bottom w:val="none" w:sz="0" w:space="0" w:color="auto"/>
        <w:right w:val="none" w:sz="0" w:space="0" w:color="auto"/>
      </w:divBdr>
      <w:divsChild>
        <w:div w:id="1587685082">
          <w:marLeft w:val="0"/>
          <w:marRight w:val="0"/>
          <w:marTop w:val="0"/>
          <w:marBottom w:val="0"/>
          <w:divBdr>
            <w:top w:val="none" w:sz="0" w:space="0" w:color="auto"/>
            <w:left w:val="none" w:sz="0" w:space="0" w:color="auto"/>
            <w:bottom w:val="none" w:sz="0" w:space="0" w:color="auto"/>
            <w:right w:val="none" w:sz="0" w:space="0" w:color="auto"/>
          </w:divBdr>
          <w:divsChild>
            <w:div w:id="17668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7743">
      <w:bodyDiv w:val="1"/>
      <w:marLeft w:val="0"/>
      <w:marRight w:val="0"/>
      <w:marTop w:val="0"/>
      <w:marBottom w:val="0"/>
      <w:divBdr>
        <w:top w:val="none" w:sz="0" w:space="0" w:color="auto"/>
        <w:left w:val="none" w:sz="0" w:space="0" w:color="auto"/>
        <w:bottom w:val="none" w:sz="0" w:space="0" w:color="auto"/>
        <w:right w:val="none" w:sz="0" w:space="0" w:color="auto"/>
      </w:divBdr>
      <w:divsChild>
        <w:div w:id="1632592423">
          <w:marLeft w:val="0"/>
          <w:marRight w:val="0"/>
          <w:marTop w:val="0"/>
          <w:marBottom w:val="0"/>
          <w:divBdr>
            <w:top w:val="none" w:sz="0" w:space="0" w:color="auto"/>
            <w:left w:val="none" w:sz="0" w:space="0" w:color="auto"/>
            <w:bottom w:val="none" w:sz="0" w:space="0" w:color="auto"/>
            <w:right w:val="none" w:sz="0" w:space="0" w:color="auto"/>
          </w:divBdr>
          <w:divsChild>
            <w:div w:id="5315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00132">
      <w:bodyDiv w:val="1"/>
      <w:marLeft w:val="0"/>
      <w:marRight w:val="0"/>
      <w:marTop w:val="0"/>
      <w:marBottom w:val="0"/>
      <w:divBdr>
        <w:top w:val="none" w:sz="0" w:space="0" w:color="auto"/>
        <w:left w:val="none" w:sz="0" w:space="0" w:color="auto"/>
        <w:bottom w:val="none" w:sz="0" w:space="0" w:color="auto"/>
        <w:right w:val="none" w:sz="0" w:space="0" w:color="auto"/>
      </w:divBdr>
    </w:div>
    <w:div w:id="306859972">
      <w:bodyDiv w:val="1"/>
      <w:marLeft w:val="0"/>
      <w:marRight w:val="0"/>
      <w:marTop w:val="0"/>
      <w:marBottom w:val="0"/>
      <w:divBdr>
        <w:top w:val="none" w:sz="0" w:space="0" w:color="auto"/>
        <w:left w:val="none" w:sz="0" w:space="0" w:color="auto"/>
        <w:bottom w:val="none" w:sz="0" w:space="0" w:color="auto"/>
        <w:right w:val="none" w:sz="0" w:space="0" w:color="auto"/>
      </w:divBdr>
    </w:div>
    <w:div w:id="405036704">
      <w:bodyDiv w:val="1"/>
      <w:marLeft w:val="0"/>
      <w:marRight w:val="0"/>
      <w:marTop w:val="0"/>
      <w:marBottom w:val="0"/>
      <w:divBdr>
        <w:top w:val="none" w:sz="0" w:space="0" w:color="auto"/>
        <w:left w:val="none" w:sz="0" w:space="0" w:color="auto"/>
        <w:bottom w:val="none" w:sz="0" w:space="0" w:color="auto"/>
        <w:right w:val="none" w:sz="0" w:space="0" w:color="auto"/>
      </w:divBdr>
      <w:divsChild>
        <w:div w:id="2075539964">
          <w:marLeft w:val="0"/>
          <w:marRight w:val="0"/>
          <w:marTop w:val="0"/>
          <w:marBottom w:val="0"/>
          <w:divBdr>
            <w:top w:val="none" w:sz="0" w:space="0" w:color="auto"/>
            <w:left w:val="none" w:sz="0" w:space="0" w:color="auto"/>
            <w:bottom w:val="none" w:sz="0" w:space="0" w:color="auto"/>
            <w:right w:val="none" w:sz="0" w:space="0" w:color="auto"/>
          </w:divBdr>
          <w:divsChild>
            <w:div w:id="13332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767">
      <w:bodyDiv w:val="1"/>
      <w:marLeft w:val="0"/>
      <w:marRight w:val="0"/>
      <w:marTop w:val="0"/>
      <w:marBottom w:val="0"/>
      <w:divBdr>
        <w:top w:val="none" w:sz="0" w:space="0" w:color="auto"/>
        <w:left w:val="none" w:sz="0" w:space="0" w:color="auto"/>
        <w:bottom w:val="none" w:sz="0" w:space="0" w:color="auto"/>
        <w:right w:val="none" w:sz="0" w:space="0" w:color="auto"/>
      </w:divBdr>
      <w:divsChild>
        <w:div w:id="613290513">
          <w:marLeft w:val="0"/>
          <w:marRight w:val="0"/>
          <w:marTop w:val="0"/>
          <w:marBottom w:val="0"/>
          <w:divBdr>
            <w:top w:val="none" w:sz="0" w:space="0" w:color="auto"/>
            <w:left w:val="none" w:sz="0" w:space="0" w:color="auto"/>
            <w:bottom w:val="none" w:sz="0" w:space="0" w:color="auto"/>
            <w:right w:val="none" w:sz="0" w:space="0" w:color="auto"/>
          </w:divBdr>
          <w:divsChild>
            <w:div w:id="21058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471">
      <w:bodyDiv w:val="1"/>
      <w:marLeft w:val="0"/>
      <w:marRight w:val="0"/>
      <w:marTop w:val="0"/>
      <w:marBottom w:val="0"/>
      <w:divBdr>
        <w:top w:val="none" w:sz="0" w:space="0" w:color="auto"/>
        <w:left w:val="none" w:sz="0" w:space="0" w:color="auto"/>
        <w:bottom w:val="none" w:sz="0" w:space="0" w:color="auto"/>
        <w:right w:val="none" w:sz="0" w:space="0" w:color="auto"/>
      </w:divBdr>
      <w:divsChild>
        <w:div w:id="696583473">
          <w:marLeft w:val="0"/>
          <w:marRight w:val="0"/>
          <w:marTop w:val="0"/>
          <w:marBottom w:val="0"/>
          <w:divBdr>
            <w:top w:val="none" w:sz="0" w:space="0" w:color="auto"/>
            <w:left w:val="none" w:sz="0" w:space="0" w:color="auto"/>
            <w:bottom w:val="none" w:sz="0" w:space="0" w:color="auto"/>
            <w:right w:val="none" w:sz="0" w:space="0" w:color="auto"/>
          </w:divBdr>
          <w:divsChild>
            <w:div w:id="20060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712">
      <w:bodyDiv w:val="1"/>
      <w:marLeft w:val="0"/>
      <w:marRight w:val="0"/>
      <w:marTop w:val="0"/>
      <w:marBottom w:val="0"/>
      <w:divBdr>
        <w:top w:val="none" w:sz="0" w:space="0" w:color="auto"/>
        <w:left w:val="none" w:sz="0" w:space="0" w:color="auto"/>
        <w:bottom w:val="none" w:sz="0" w:space="0" w:color="auto"/>
        <w:right w:val="none" w:sz="0" w:space="0" w:color="auto"/>
      </w:divBdr>
      <w:divsChild>
        <w:div w:id="2107769934">
          <w:marLeft w:val="0"/>
          <w:marRight w:val="0"/>
          <w:marTop w:val="0"/>
          <w:marBottom w:val="0"/>
          <w:divBdr>
            <w:top w:val="none" w:sz="0" w:space="0" w:color="auto"/>
            <w:left w:val="none" w:sz="0" w:space="0" w:color="auto"/>
            <w:bottom w:val="none" w:sz="0" w:space="0" w:color="auto"/>
            <w:right w:val="none" w:sz="0" w:space="0" w:color="auto"/>
          </w:divBdr>
          <w:divsChild>
            <w:div w:id="1191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3581">
      <w:bodyDiv w:val="1"/>
      <w:marLeft w:val="0"/>
      <w:marRight w:val="0"/>
      <w:marTop w:val="0"/>
      <w:marBottom w:val="0"/>
      <w:divBdr>
        <w:top w:val="none" w:sz="0" w:space="0" w:color="auto"/>
        <w:left w:val="none" w:sz="0" w:space="0" w:color="auto"/>
        <w:bottom w:val="none" w:sz="0" w:space="0" w:color="auto"/>
        <w:right w:val="none" w:sz="0" w:space="0" w:color="auto"/>
      </w:divBdr>
    </w:div>
    <w:div w:id="889656350">
      <w:bodyDiv w:val="1"/>
      <w:marLeft w:val="0"/>
      <w:marRight w:val="0"/>
      <w:marTop w:val="0"/>
      <w:marBottom w:val="0"/>
      <w:divBdr>
        <w:top w:val="none" w:sz="0" w:space="0" w:color="auto"/>
        <w:left w:val="none" w:sz="0" w:space="0" w:color="auto"/>
        <w:bottom w:val="none" w:sz="0" w:space="0" w:color="auto"/>
        <w:right w:val="none" w:sz="0" w:space="0" w:color="auto"/>
      </w:divBdr>
      <w:divsChild>
        <w:div w:id="986935208">
          <w:marLeft w:val="0"/>
          <w:marRight w:val="0"/>
          <w:marTop w:val="0"/>
          <w:marBottom w:val="0"/>
          <w:divBdr>
            <w:top w:val="none" w:sz="0" w:space="0" w:color="auto"/>
            <w:left w:val="none" w:sz="0" w:space="0" w:color="auto"/>
            <w:bottom w:val="none" w:sz="0" w:space="0" w:color="auto"/>
            <w:right w:val="none" w:sz="0" w:space="0" w:color="auto"/>
          </w:divBdr>
          <w:divsChild>
            <w:div w:id="2579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1422">
      <w:bodyDiv w:val="1"/>
      <w:marLeft w:val="0"/>
      <w:marRight w:val="0"/>
      <w:marTop w:val="0"/>
      <w:marBottom w:val="0"/>
      <w:divBdr>
        <w:top w:val="none" w:sz="0" w:space="0" w:color="auto"/>
        <w:left w:val="none" w:sz="0" w:space="0" w:color="auto"/>
        <w:bottom w:val="none" w:sz="0" w:space="0" w:color="auto"/>
        <w:right w:val="none" w:sz="0" w:space="0" w:color="auto"/>
      </w:divBdr>
    </w:div>
    <w:div w:id="947616807">
      <w:bodyDiv w:val="1"/>
      <w:marLeft w:val="0"/>
      <w:marRight w:val="0"/>
      <w:marTop w:val="0"/>
      <w:marBottom w:val="0"/>
      <w:divBdr>
        <w:top w:val="none" w:sz="0" w:space="0" w:color="auto"/>
        <w:left w:val="none" w:sz="0" w:space="0" w:color="auto"/>
        <w:bottom w:val="none" w:sz="0" w:space="0" w:color="auto"/>
        <w:right w:val="none" w:sz="0" w:space="0" w:color="auto"/>
      </w:divBdr>
      <w:divsChild>
        <w:div w:id="1857384440">
          <w:marLeft w:val="0"/>
          <w:marRight w:val="0"/>
          <w:marTop w:val="0"/>
          <w:marBottom w:val="0"/>
          <w:divBdr>
            <w:top w:val="none" w:sz="0" w:space="0" w:color="auto"/>
            <w:left w:val="none" w:sz="0" w:space="0" w:color="auto"/>
            <w:bottom w:val="none" w:sz="0" w:space="0" w:color="auto"/>
            <w:right w:val="none" w:sz="0" w:space="0" w:color="auto"/>
          </w:divBdr>
          <w:divsChild>
            <w:div w:id="816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7072">
      <w:bodyDiv w:val="1"/>
      <w:marLeft w:val="0"/>
      <w:marRight w:val="0"/>
      <w:marTop w:val="0"/>
      <w:marBottom w:val="0"/>
      <w:divBdr>
        <w:top w:val="none" w:sz="0" w:space="0" w:color="auto"/>
        <w:left w:val="none" w:sz="0" w:space="0" w:color="auto"/>
        <w:bottom w:val="none" w:sz="0" w:space="0" w:color="auto"/>
        <w:right w:val="none" w:sz="0" w:space="0" w:color="auto"/>
      </w:divBdr>
      <w:divsChild>
        <w:div w:id="653608596">
          <w:marLeft w:val="0"/>
          <w:marRight w:val="0"/>
          <w:marTop w:val="0"/>
          <w:marBottom w:val="0"/>
          <w:divBdr>
            <w:top w:val="none" w:sz="0" w:space="0" w:color="auto"/>
            <w:left w:val="none" w:sz="0" w:space="0" w:color="auto"/>
            <w:bottom w:val="none" w:sz="0" w:space="0" w:color="auto"/>
            <w:right w:val="none" w:sz="0" w:space="0" w:color="auto"/>
          </w:divBdr>
          <w:divsChild>
            <w:div w:id="18697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5430">
      <w:bodyDiv w:val="1"/>
      <w:marLeft w:val="0"/>
      <w:marRight w:val="0"/>
      <w:marTop w:val="0"/>
      <w:marBottom w:val="0"/>
      <w:divBdr>
        <w:top w:val="none" w:sz="0" w:space="0" w:color="auto"/>
        <w:left w:val="none" w:sz="0" w:space="0" w:color="auto"/>
        <w:bottom w:val="none" w:sz="0" w:space="0" w:color="auto"/>
        <w:right w:val="none" w:sz="0" w:space="0" w:color="auto"/>
      </w:divBdr>
      <w:divsChild>
        <w:div w:id="1213736304">
          <w:marLeft w:val="0"/>
          <w:marRight w:val="0"/>
          <w:marTop w:val="0"/>
          <w:marBottom w:val="0"/>
          <w:divBdr>
            <w:top w:val="none" w:sz="0" w:space="0" w:color="auto"/>
            <w:left w:val="none" w:sz="0" w:space="0" w:color="auto"/>
            <w:bottom w:val="none" w:sz="0" w:space="0" w:color="auto"/>
            <w:right w:val="none" w:sz="0" w:space="0" w:color="auto"/>
          </w:divBdr>
          <w:divsChild>
            <w:div w:id="1840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6308">
      <w:bodyDiv w:val="1"/>
      <w:marLeft w:val="0"/>
      <w:marRight w:val="0"/>
      <w:marTop w:val="0"/>
      <w:marBottom w:val="0"/>
      <w:divBdr>
        <w:top w:val="none" w:sz="0" w:space="0" w:color="auto"/>
        <w:left w:val="none" w:sz="0" w:space="0" w:color="auto"/>
        <w:bottom w:val="none" w:sz="0" w:space="0" w:color="auto"/>
        <w:right w:val="none" w:sz="0" w:space="0" w:color="auto"/>
      </w:divBdr>
    </w:div>
    <w:div w:id="1607537437">
      <w:bodyDiv w:val="1"/>
      <w:marLeft w:val="0"/>
      <w:marRight w:val="0"/>
      <w:marTop w:val="0"/>
      <w:marBottom w:val="0"/>
      <w:divBdr>
        <w:top w:val="none" w:sz="0" w:space="0" w:color="auto"/>
        <w:left w:val="none" w:sz="0" w:space="0" w:color="auto"/>
        <w:bottom w:val="none" w:sz="0" w:space="0" w:color="auto"/>
        <w:right w:val="none" w:sz="0" w:space="0" w:color="auto"/>
      </w:divBdr>
      <w:divsChild>
        <w:div w:id="84574049">
          <w:marLeft w:val="0"/>
          <w:marRight w:val="0"/>
          <w:marTop w:val="0"/>
          <w:marBottom w:val="0"/>
          <w:divBdr>
            <w:top w:val="none" w:sz="0" w:space="0" w:color="auto"/>
            <w:left w:val="none" w:sz="0" w:space="0" w:color="auto"/>
            <w:bottom w:val="none" w:sz="0" w:space="0" w:color="auto"/>
            <w:right w:val="none" w:sz="0" w:space="0" w:color="auto"/>
          </w:divBdr>
          <w:divsChild>
            <w:div w:id="13043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021">
      <w:bodyDiv w:val="1"/>
      <w:marLeft w:val="0"/>
      <w:marRight w:val="0"/>
      <w:marTop w:val="0"/>
      <w:marBottom w:val="0"/>
      <w:divBdr>
        <w:top w:val="none" w:sz="0" w:space="0" w:color="auto"/>
        <w:left w:val="none" w:sz="0" w:space="0" w:color="auto"/>
        <w:bottom w:val="none" w:sz="0" w:space="0" w:color="auto"/>
        <w:right w:val="none" w:sz="0" w:space="0" w:color="auto"/>
      </w:divBdr>
      <w:divsChild>
        <w:div w:id="1480465716">
          <w:marLeft w:val="0"/>
          <w:marRight w:val="0"/>
          <w:marTop w:val="0"/>
          <w:marBottom w:val="0"/>
          <w:divBdr>
            <w:top w:val="none" w:sz="0" w:space="0" w:color="auto"/>
            <w:left w:val="none" w:sz="0" w:space="0" w:color="auto"/>
            <w:bottom w:val="none" w:sz="0" w:space="0" w:color="auto"/>
            <w:right w:val="none" w:sz="0" w:space="0" w:color="auto"/>
          </w:divBdr>
          <w:divsChild>
            <w:div w:id="14570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1926">
      <w:bodyDiv w:val="1"/>
      <w:marLeft w:val="0"/>
      <w:marRight w:val="0"/>
      <w:marTop w:val="0"/>
      <w:marBottom w:val="0"/>
      <w:divBdr>
        <w:top w:val="none" w:sz="0" w:space="0" w:color="auto"/>
        <w:left w:val="none" w:sz="0" w:space="0" w:color="auto"/>
        <w:bottom w:val="none" w:sz="0" w:space="0" w:color="auto"/>
        <w:right w:val="none" w:sz="0" w:space="0" w:color="auto"/>
      </w:divBdr>
      <w:divsChild>
        <w:div w:id="221261490">
          <w:marLeft w:val="0"/>
          <w:marRight w:val="0"/>
          <w:marTop w:val="0"/>
          <w:marBottom w:val="0"/>
          <w:divBdr>
            <w:top w:val="none" w:sz="0" w:space="0" w:color="auto"/>
            <w:left w:val="none" w:sz="0" w:space="0" w:color="auto"/>
            <w:bottom w:val="none" w:sz="0" w:space="0" w:color="auto"/>
            <w:right w:val="none" w:sz="0" w:space="0" w:color="auto"/>
          </w:divBdr>
          <w:divsChild>
            <w:div w:id="876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4480">
      <w:bodyDiv w:val="1"/>
      <w:marLeft w:val="0"/>
      <w:marRight w:val="0"/>
      <w:marTop w:val="0"/>
      <w:marBottom w:val="0"/>
      <w:divBdr>
        <w:top w:val="none" w:sz="0" w:space="0" w:color="auto"/>
        <w:left w:val="none" w:sz="0" w:space="0" w:color="auto"/>
        <w:bottom w:val="none" w:sz="0" w:space="0" w:color="auto"/>
        <w:right w:val="none" w:sz="0" w:space="0" w:color="auto"/>
      </w:divBdr>
      <w:divsChild>
        <w:div w:id="1682900632">
          <w:marLeft w:val="0"/>
          <w:marRight w:val="0"/>
          <w:marTop w:val="0"/>
          <w:marBottom w:val="0"/>
          <w:divBdr>
            <w:top w:val="none" w:sz="0" w:space="0" w:color="auto"/>
            <w:left w:val="none" w:sz="0" w:space="0" w:color="auto"/>
            <w:bottom w:val="none" w:sz="0" w:space="0" w:color="auto"/>
            <w:right w:val="none" w:sz="0" w:space="0" w:color="auto"/>
          </w:divBdr>
          <w:divsChild>
            <w:div w:id="19940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gelaharris@stanford.edu" TargetMode="External"/><Relationship Id="rId12" Type="http://schemas.openxmlformats.org/officeDocument/2006/relationships/hyperlink" Target="mailto:ajlyons@stanford.edu" TargetMode="External"/><Relationship Id="rId13" Type="http://schemas.openxmlformats.org/officeDocument/2006/relationships/hyperlink" Target="http://www.stanford.edu/dept/vpsa/judicialaffairs/guiding/honorcode.htm" TargetMode="External"/><Relationship Id="rId14" Type="http://schemas.openxmlformats.org/officeDocument/2006/relationships/hyperlink" Target="http://studentaffairs.stanford.edu/registrar/students/ferp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erritsn@stanford.edu" TargetMode="External"/><Relationship Id="rId10" Type="http://schemas.openxmlformats.org/officeDocument/2006/relationships/hyperlink" Target="mailto:lizwc@stanford.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nvas.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920E24-9234-E34F-BC18-998362BF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2066</Words>
  <Characters>11781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Local Admin</dc:creator>
  <cp:lastModifiedBy>Aaron Cole</cp:lastModifiedBy>
  <cp:revision>2</cp:revision>
  <cp:lastPrinted>2016-01-04T19:43:00Z</cp:lastPrinted>
  <dcterms:created xsi:type="dcterms:W3CDTF">2016-03-04T16:46:00Z</dcterms:created>
  <dcterms:modified xsi:type="dcterms:W3CDTF">2016-03-04T16:46:00Z</dcterms:modified>
</cp:coreProperties>
</file>